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29" w:rsidRPr="00E655EE" w:rsidRDefault="00085B29" w:rsidP="00E655EE">
      <w:pPr>
        <w:jc w:val="center"/>
        <w:rPr>
          <w:b/>
          <w:bCs/>
          <w:sz w:val="22"/>
          <w:szCs w:val="22"/>
        </w:rPr>
      </w:pPr>
      <w:r w:rsidRPr="00E655EE">
        <w:rPr>
          <w:b/>
          <w:sz w:val="22"/>
          <w:szCs w:val="22"/>
        </w:rPr>
        <w:t>Сообщение о существенном факте</w:t>
      </w:r>
      <w:r w:rsidRPr="00E655EE">
        <w:rPr>
          <w:b/>
          <w:sz w:val="22"/>
          <w:szCs w:val="22"/>
        </w:rPr>
        <w:br/>
      </w:r>
      <w:r w:rsidRPr="00E655EE">
        <w:rPr>
          <w:b/>
          <w:bCs/>
          <w:sz w:val="22"/>
          <w:szCs w:val="22"/>
        </w:rPr>
        <w:t>«</w:t>
      </w:r>
      <w:r w:rsidR="00BD2E19" w:rsidRPr="00E655EE">
        <w:rPr>
          <w:b/>
          <w:bCs/>
          <w:sz w:val="22"/>
          <w:szCs w:val="22"/>
        </w:rPr>
        <w:t>О заключении эмитентом договора, предусматривающего обязанность приобретать эмиссионные ценные бумаги указанного эмитента</w:t>
      </w:r>
      <w:r w:rsidRPr="00E655EE">
        <w:rPr>
          <w:b/>
          <w:sz w:val="22"/>
          <w:szCs w:val="22"/>
        </w:rPr>
        <w:t>»</w:t>
      </w:r>
    </w:p>
    <w:p w:rsidR="00085B29" w:rsidRPr="00E655EE" w:rsidRDefault="00085B29" w:rsidP="00E655EE">
      <w:pPr>
        <w:adjustRightInd w:val="0"/>
        <w:jc w:val="center"/>
        <w:outlineLvl w:val="3"/>
        <w:rPr>
          <w:b/>
          <w:bCs/>
          <w:sz w:val="22"/>
          <w:szCs w:val="22"/>
        </w:rPr>
      </w:pP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4961"/>
      </w:tblGrid>
      <w:tr w:rsidR="00085B29" w:rsidRPr="00E655EE">
        <w:tc>
          <w:tcPr>
            <w:tcW w:w="10065" w:type="dxa"/>
            <w:gridSpan w:val="2"/>
          </w:tcPr>
          <w:p w:rsidR="00085B29" w:rsidRPr="00E655EE" w:rsidRDefault="00085B29" w:rsidP="00E655EE">
            <w:pPr>
              <w:jc w:val="center"/>
              <w:rPr>
                <w:sz w:val="22"/>
                <w:szCs w:val="22"/>
              </w:rPr>
            </w:pPr>
            <w:r w:rsidRPr="00E655EE">
              <w:rPr>
                <w:sz w:val="22"/>
                <w:szCs w:val="22"/>
              </w:rPr>
              <w:t>1. Общие сведения</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1.1 Полное фирменное наименование эмитента (для некоммерческой организации – наименование)</w:t>
            </w:r>
          </w:p>
        </w:tc>
        <w:tc>
          <w:tcPr>
            <w:tcW w:w="4961" w:type="dxa"/>
            <w:vAlign w:val="center"/>
          </w:tcPr>
          <w:p w:rsidR="00B90ACB" w:rsidRPr="00E655EE" w:rsidRDefault="00B90ACB" w:rsidP="00E655EE">
            <w:pPr>
              <w:ind w:right="85"/>
              <w:rPr>
                <w:b/>
                <w:bCs/>
                <w:sz w:val="22"/>
                <w:szCs w:val="22"/>
              </w:rPr>
            </w:pPr>
            <w:r w:rsidRPr="00E655EE">
              <w:rPr>
                <w:b/>
                <w:bCs/>
                <w:sz w:val="22"/>
                <w:szCs w:val="22"/>
              </w:rPr>
              <w:t>Общество с ограниченной ответственностью «Лента»</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1.2 Сокращенное фирменное наименование эмитента</w:t>
            </w:r>
          </w:p>
        </w:tc>
        <w:tc>
          <w:tcPr>
            <w:tcW w:w="4961" w:type="dxa"/>
            <w:vAlign w:val="center"/>
          </w:tcPr>
          <w:p w:rsidR="00B90ACB" w:rsidRPr="00E655EE" w:rsidRDefault="00B90ACB" w:rsidP="00E655EE">
            <w:pPr>
              <w:ind w:right="85"/>
              <w:rPr>
                <w:b/>
                <w:bCs/>
                <w:sz w:val="22"/>
                <w:szCs w:val="22"/>
              </w:rPr>
            </w:pPr>
            <w:r w:rsidRPr="00E655EE">
              <w:rPr>
                <w:b/>
                <w:bCs/>
                <w:sz w:val="22"/>
                <w:szCs w:val="22"/>
              </w:rPr>
              <w:t>ООО «Лента»</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1.3 Место нахождения эмитента</w:t>
            </w:r>
          </w:p>
        </w:tc>
        <w:tc>
          <w:tcPr>
            <w:tcW w:w="4961" w:type="dxa"/>
            <w:vAlign w:val="center"/>
          </w:tcPr>
          <w:p w:rsidR="00B90ACB" w:rsidRPr="00E655EE" w:rsidRDefault="00B90ACB" w:rsidP="00E655EE">
            <w:pPr>
              <w:ind w:right="85"/>
              <w:rPr>
                <w:b/>
                <w:bCs/>
                <w:sz w:val="22"/>
                <w:szCs w:val="22"/>
              </w:rPr>
            </w:pPr>
            <w:r w:rsidRPr="00E655EE">
              <w:rPr>
                <w:b/>
                <w:bCs/>
                <w:sz w:val="22"/>
                <w:szCs w:val="22"/>
              </w:rPr>
              <w:t>197374, г. Санкт-Петербург, ул. Савушкина, д. 112</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1.4 ОГРН эмитента</w:t>
            </w:r>
          </w:p>
        </w:tc>
        <w:tc>
          <w:tcPr>
            <w:tcW w:w="4961" w:type="dxa"/>
            <w:vAlign w:val="center"/>
          </w:tcPr>
          <w:p w:rsidR="00B90ACB" w:rsidRPr="00E655EE" w:rsidRDefault="00B90ACB" w:rsidP="00E655EE">
            <w:pPr>
              <w:ind w:right="85"/>
              <w:rPr>
                <w:b/>
                <w:bCs/>
                <w:sz w:val="22"/>
                <w:szCs w:val="22"/>
              </w:rPr>
            </w:pPr>
            <w:r w:rsidRPr="00E655EE">
              <w:rPr>
                <w:b/>
                <w:bCs/>
                <w:sz w:val="22"/>
                <w:szCs w:val="22"/>
              </w:rPr>
              <w:t>1037832048605</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1.5 ИНН эмитента</w:t>
            </w:r>
          </w:p>
        </w:tc>
        <w:tc>
          <w:tcPr>
            <w:tcW w:w="4961" w:type="dxa"/>
            <w:vAlign w:val="center"/>
          </w:tcPr>
          <w:p w:rsidR="00B90ACB" w:rsidRPr="00E655EE" w:rsidRDefault="00B90ACB" w:rsidP="00E655EE">
            <w:pPr>
              <w:ind w:right="85"/>
              <w:rPr>
                <w:b/>
                <w:bCs/>
                <w:sz w:val="22"/>
                <w:szCs w:val="22"/>
              </w:rPr>
            </w:pPr>
            <w:r w:rsidRPr="00E655EE">
              <w:rPr>
                <w:b/>
                <w:bCs/>
                <w:sz w:val="22"/>
                <w:szCs w:val="22"/>
              </w:rPr>
              <w:t>7814148471</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1.6 Уникальный код эмитента, присвоенный регистрирующим органом</w:t>
            </w:r>
          </w:p>
        </w:tc>
        <w:tc>
          <w:tcPr>
            <w:tcW w:w="4961" w:type="dxa"/>
            <w:vAlign w:val="center"/>
          </w:tcPr>
          <w:p w:rsidR="00B90ACB" w:rsidRPr="00E655EE" w:rsidRDefault="00B90ACB" w:rsidP="00E655EE">
            <w:pPr>
              <w:ind w:right="85"/>
              <w:rPr>
                <w:b/>
                <w:bCs/>
                <w:sz w:val="22"/>
                <w:szCs w:val="22"/>
              </w:rPr>
            </w:pPr>
            <w:r w:rsidRPr="00E655EE">
              <w:rPr>
                <w:b/>
                <w:bCs/>
                <w:sz w:val="22"/>
                <w:szCs w:val="22"/>
              </w:rPr>
              <w:t>36420-R</w:t>
            </w:r>
          </w:p>
        </w:tc>
      </w:tr>
      <w:tr w:rsidR="00B90ACB" w:rsidRPr="00E655EE" w:rsidTr="003D18F1">
        <w:tc>
          <w:tcPr>
            <w:tcW w:w="5104" w:type="dxa"/>
          </w:tcPr>
          <w:p w:rsidR="00B90ACB" w:rsidRPr="00E655EE" w:rsidRDefault="00B90ACB" w:rsidP="00E655EE">
            <w:pPr>
              <w:ind w:left="85" w:right="85"/>
              <w:rPr>
                <w:sz w:val="22"/>
                <w:szCs w:val="22"/>
              </w:rPr>
            </w:pPr>
            <w:r w:rsidRPr="00E655EE">
              <w:rPr>
                <w:sz w:val="22"/>
                <w:szCs w:val="22"/>
              </w:rPr>
              <w:t>1.7 Адрес страницы в сети Интернет, используемой эмитентом для раскрытия информации</w:t>
            </w:r>
          </w:p>
        </w:tc>
        <w:tc>
          <w:tcPr>
            <w:tcW w:w="4961" w:type="dxa"/>
            <w:vAlign w:val="center"/>
          </w:tcPr>
          <w:p w:rsidR="00B90ACB" w:rsidRPr="00E655EE" w:rsidRDefault="00B90ACB" w:rsidP="00E655EE">
            <w:pPr>
              <w:ind w:right="85"/>
              <w:rPr>
                <w:b/>
                <w:bCs/>
                <w:sz w:val="22"/>
                <w:szCs w:val="22"/>
              </w:rPr>
            </w:pPr>
            <w:r w:rsidRPr="00E655EE">
              <w:rPr>
                <w:b/>
                <w:bCs/>
                <w:sz w:val="22"/>
                <w:szCs w:val="22"/>
              </w:rPr>
              <w:t>www.lenta.com; http://www.e-disclosure.ru/portal/company.aspx?id=32010</w:t>
            </w:r>
          </w:p>
        </w:tc>
      </w:tr>
    </w:tbl>
    <w:p w:rsidR="00085B29" w:rsidRPr="00E655EE" w:rsidRDefault="00085B29" w:rsidP="00E655EE">
      <w:pPr>
        <w:rPr>
          <w:sz w:val="22"/>
          <w:szCs w:val="22"/>
        </w:rPr>
      </w:pP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5"/>
      </w:tblGrid>
      <w:tr w:rsidR="00085B29" w:rsidRPr="00E655EE">
        <w:tc>
          <w:tcPr>
            <w:tcW w:w="10065" w:type="dxa"/>
          </w:tcPr>
          <w:p w:rsidR="00085B29" w:rsidRPr="00E655EE" w:rsidRDefault="00085B29" w:rsidP="00E655EE">
            <w:pPr>
              <w:jc w:val="center"/>
              <w:rPr>
                <w:sz w:val="22"/>
                <w:szCs w:val="22"/>
              </w:rPr>
            </w:pPr>
            <w:r w:rsidRPr="00E655EE">
              <w:rPr>
                <w:sz w:val="22"/>
                <w:szCs w:val="22"/>
              </w:rPr>
              <w:t>2. Содержание сообщения</w:t>
            </w:r>
          </w:p>
        </w:tc>
      </w:tr>
      <w:tr w:rsidR="00085B29" w:rsidRPr="00E655EE" w:rsidTr="0018496C">
        <w:trPr>
          <w:trHeight w:val="851"/>
        </w:trPr>
        <w:tc>
          <w:tcPr>
            <w:tcW w:w="10065" w:type="dxa"/>
          </w:tcPr>
          <w:p w:rsidR="00085B29" w:rsidRPr="00E655EE" w:rsidRDefault="00A3313A" w:rsidP="00E655EE">
            <w:pPr>
              <w:tabs>
                <w:tab w:val="left" w:pos="9856"/>
              </w:tabs>
              <w:adjustRightInd w:val="0"/>
              <w:ind w:left="114" w:right="114"/>
              <w:jc w:val="both"/>
              <w:outlineLvl w:val="0"/>
              <w:rPr>
                <w:b/>
                <w:bCs/>
                <w:i/>
                <w:sz w:val="22"/>
                <w:szCs w:val="22"/>
              </w:rPr>
            </w:pPr>
            <w:r w:rsidRPr="00E655EE">
              <w:rPr>
                <w:bCs/>
                <w:sz w:val="22"/>
                <w:szCs w:val="22"/>
              </w:rPr>
              <w:t>2.</w:t>
            </w:r>
            <w:r w:rsidR="00085B29" w:rsidRPr="00E655EE">
              <w:rPr>
                <w:bCs/>
                <w:sz w:val="22"/>
                <w:szCs w:val="22"/>
              </w:rPr>
              <w:t>1.</w:t>
            </w:r>
            <w:r w:rsidR="00BD2E19" w:rsidRPr="00E655EE">
              <w:rPr>
                <w:bCs/>
                <w:sz w:val="22"/>
                <w:szCs w:val="22"/>
              </w:rPr>
              <w:t xml:space="preserve"> </w:t>
            </w:r>
            <w:r w:rsidR="00085B29" w:rsidRPr="00E655EE">
              <w:rPr>
                <w:bCs/>
                <w:sz w:val="22"/>
                <w:szCs w:val="22"/>
              </w:rPr>
              <w:t>Вид, категория (тип), серия и иные идентификационные признаки эмиссионных ценных бумаг эмитента,</w:t>
            </w:r>
            <w:r w:rsidR="00BD2E19" w:rsidRPr="00E655EE">
              <w:rPr>
                <w:sz w:val="22"/>
                <w:szCs w:val="22"/>
              </w:rPr>
              <w:t xml:space="preserve"> в отношении которых эмитентом заключен договор (договоры), предусматривающий (предусматривающие) обязанность эмитента по их приобретению</w:t>
            </w:r>
            <w:r w:rsidR="00085B29" w:rsidRPr="00E655EE">
              <w:rPr>
                <w:bCs/>
                <w:sz w:val="22"/>
                <w:szCs w:val="22"/>
              </w:rPr>
              <w:t xml:space="preserve">: </w:t>
            </w:r>
          </w:p>
          <w:p w:rsidR="00B90ACB" w:rsidRPr="00E655EE" w:rsidRDefault="00B90ACB" w:rsidP="00E655EE">
            <w:pPr>
              <w:ind w:left="114" w:right="114"/>
              <w:jc w:val="both"/>
              <w:outlineLvl w:val="0"/>
              <w:rPr>
                <w:b/>
                <w:i/>
                <w:sz w:val="22"/>
                <w:szCs w:val="22"/>
              </w:rPr>
            </w:pPr>
            <w:r w:rsidRPr="00E655EE">
              <w:rPr>
                <w:b/>
                <w:i/>
                <w:sz w:val="22"/>
                <w:szCs w:val="22"/>
              </w:rPr>
              <w:t>Облигации документарные процентные неконвертируемые на предъявителя с обязательным централизованным хранением сери</w:t>
            </w:r>
            <w:r w:rsidR="00BD2E19" w:rsidRPr="00E655EE">
              <w:rPr>
                <w:b/>
                <w:i/>
                <w:sz w:val="22"/>
                <w:szCs w:val="22"/>
              </w:rPr>
              <w:t>и</w:t>
            </w:r>
            <w:r w:rsidRPr="00E655EE">
              <w:rPr>
                <w:b/>
                <w:i/>
                <w:sz w:val="22"/>
                <w:szCs w:val="22"/>
              </w:rPr>
              <w:t xml:space="preserve"> </w:t>
            </w:r>
            <w:r w:rsidR="00BD2E19" w:rsidRPr="00E655EE">
              <w:rPr>
                <w:b/>
                <w:i/>
                <w:sz w:val="22"/>
                <w:szCs w:val="22"/>
              </w:rPr>
              <w:t>0</w:t>
            </w:r>
            <w:r w:rsidR="001305E3">
              <w:rPr>
                <w:b/>
                <w:i/>
                <w:sz w:val="22"/>
                <w:szCs w:val="22"/>
              </w:rPr>
              <w:t>3</w:t>
            </w:r>
            <w:r w:rsidR="00BD2E19" w:rsidRPr="00E655EE">
              <w:rPr>
                <w:b/>
                <w:i/>
                <w:sz w:val="22"/>
                <w:szCs w:val="22"/>
              </w:rPr>
              <w:t xml:space="preserve"> </w:t>
            </w:r>
            <w:r w:rsidRPr="00E655EE">
              <w:rPr>
                <w:b/>
                <w:i/>
                <w:sz w:val="22"/>
                <w:szCs w:val="22"/>
              </w:rPr>
              <w:t>с возможностью досрочного погашения по требованию владельцев и по усмотрению Эмитента (далее именуемые – «Облигации»).</w:t>
            </w:r>
          </w:p>
          <w:p w:rsidR="00BD2E19" w:rsidRPr="00E655EE" w:rsidRDefault="00BD2E19" w:rsidP="00E655EE">
            <w:pPr>
              <w:ind w:left="114" w:right="114"/>
              <w:jc w:val="both"/>
              <w:outlineLvl w:val="0"/>
              <w:rPr>
                <w:bCs/>
                <w:sz w:val="22"/>
                <w:szCs w:val="22"/>
              </w:rPr>
            </w:pPr>
          </w:p>
          <w:p w:rsidR="00BD2E19" w:rsidRPr="00E655EE" w:rsidRDefault="00BD2E19" w:rsidP="00E655EE">
            <w:pPr>
              <w:ind w:left="114" w:right="114"/>
              <w:jc w:val="both"/>
              <w:outlineLvl w:val="0"/>
              <w:rPr>
                <w:bCs/>
                <w:sz w:val="22"/>
                <w:szCs w:val="22"/>
              </w:rPr>
            </w:pPr>
            <w:r w:rsidRPr="00E655EE">
              <w:rPr>
                <w:bCs/>
                <w:sz w:val="22"/>
                <w:szCs w:val="22"/>
              </w:rPr>
              <w:t>2.</w:t>
            </w:r>
            <w:r w:rsidR="00A3313A" w:rsidRPr="00E655EE">
              <w:rPr>
                <w:bCs/>
                <w:sz w:val="22"/>
                <w:szCs w:val="22"/>
              </w:rPr>
              <w:t>2.</w:t>
            </w:r>
            <w:r w:rsidRPr="00E655EE">
              <w:rPr>
                <w:bCs/>
                <w:sz w:val="22"/>
                <w:szCs w:val="22"/>
              </w:rPr>
              <w:t xml:space="preserve"> </w:t>
            </w:r>
            <w:proofErr w:type="gramStart"/>
            <w:r w:rsidRPr="00E655EE">
              <w:rPr>
                <w:bCs/>
                <w:sz w:val="22"/>
                <w:szCs w:val="22"/>
              </w:rPr>
              <w:t xml:space="preserve">Наименование российской биржи (российского организатора торговли), в котировальный список которой (в список ценных бумаг, допущенных к организованным торгам, которого) включены ценные бумаги эмитента, в отношении которых эмитентом заключен договор (договоры), предусматривающий (предусматривающие) обязанность эмитента по их приобретению, а в случае включения указанных ценных бумаг эмитента в котировальный список российской биржи - также наименование такого котировального списка: </w:t>
            </w:r>
            <w:proofErr w:type="gramEnd"/>
          </w:p>
          <w:p w:rsidR="00BD2E19" w:rsidRPr="00E655EE" w:rsidRDefault="00BD2E19" w:rsidP="00E655EE">
            <w:pPr>
              <w:ind w:left="114" w:right="114"/>
              <w:jc w:val="both"/>
              <w:outlineLvl w:val="0"/>
              <w:rPr>
                <w:b/>
                <w:i/>
                <w:sz w:val="22"/>
                <w:szCs w:val="22"/>
              </w:rPr>
            </w:pPr>
            <w:r w:rsidRPr="00E655EE">
              <w:rPr>
                <w:b/>
                <w:i/>
                <w:sz w:val="22"/>
                <w:szCs w:val="22"/>
              </w:rPr>
              <w:t>Закрытое акционерное общество «Фондовая биржа ММВБ», Первый уровень</w:t>
            </w:r>
          </w:p>
          <w:p w:rsidR="00BD2E19" w:rsidRPr="00E655EE" w:rsidRDefault="00BD2E19" w:rsidP="00E655EE">
            <w:pPr>
              <w:ind w:left="114" w:right="114"/>
              <w:jc w:val="both"/>
              <w:outlineLvl w:val="0"/>
              <w:rPr>
                <w:b/>
                <w:i/>
                <w:sz w:val="22"/>
                <w:szCs w:val="22"/>
              </w:rPr>
            </w:pPr>
          </w:p>
          <w:p w:rsidR="00BD2E19" w:rsidRPr="00E655EE"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w:t>
            </w:r>
            <w:r w:rsidR="00BD2E19" w:rsidRPr="00E655EE">
              <w:rPr>
                <w:rFonts w:ascii="Times New Roman" w:eastAsia="Times New Roman" w:hAnsi="Times New Roman" w:cs="Times New Roman"/>
                <w:bCs/>
                <w:sz w:val="22"/>
                <w:szCs w:val="22"/>
              </w:rPr>
              <w:t xml:space="preserve">3. </w:t>
            </w:r>
            <w:proofErr w:type="gramStart"/>
            <w:r w:rsidR="00BD2E19" w:rsidRPr="00E655EE">
              <w:rPr>
                <w:rFonts w:ascii="Times New Roman" w:eastAsia="Times New Roman" w:hAnsi="Times New Roman" w:cs="Times New Roman"/>
                <w:bCs/>
                <w:sz w:val="22"/>
                <w:szCs w:val="22"/>
              </w:rPr>
              <w:t>Наименование и место нахождения иностранной биржи (иностранного организатора торговли), в котировальный список которой (в список ценных бумаг, допущенных к торгам на иностранном организованном (регулируемом) финансовом рынке, которого) включены ценные бумаги эмитента (ценные бумаги иностранного эмитента, удостоверяющие права в отношении ценных бумаг российского эмитента), в отношении которых эмитентом заключен договор (договоры), предусматривающий (предусматривающие) обязанность эмитента по их приобретению, а в случае</w:t>
            </w:r>
            <w:proofErr w:type="gramEnd"/>
            <w:r w:rsidR="00BD2E19" w:rsidRPr="00E655EE">
              <w:rPr>
                <w:rFonts w:ascii="Times New Roman" w:eastAsia="Times New Roman" w:hAnsi="Times New Roman" w:cs="Times New Roman"/>
                <w:bCs/>
                <w:sz w:val="22"/>
                <w:szCs w:val="22"/>
              </w:rPr>
              <w:t xml:space="preserve"> включения указанных ценных бумаг в котировальный список иностранной биржи - также наименован</w:t>
            </w:r>
            <w:r w:rsidR="005C1A95" w:rsidRPr="00E655EE">
              <w:rPr>
                <w:rFonts w:ascii="Times New Roman" w:eastAsia="Times New Roman" w:hAnsi="Times New Roman" w:cs="Times New Roman"/>
                <w:bCs/>
                <w:sz w:val="22"/>
                <w:szCs w:val="22"/>
              </w:rPr>
              <w:t>ие такого котировального списка:</w:t>
            </w:r>
          </w:p>
          <w:p w:rsidR="005C1A95" w:rsidRPr="00E655EE" w:rsidRDefault="005C1A95" w:rsidP="00E655EE">
            <w:pPr>
              <w:pStyle w:val="ConsPlusNormal"/>
              <w:ind w:left="114"/>
              <w:jc w:val="both"/>
              <w:rPr>
                <w:rFonts w:ascii="Times New Roman" w:eastAsia="Times New Roman" w:hAnsi="Times New Roman" w:cs="Times New Roman"/>
                <w:b/>
                <w:bCs/>
                <w:i/>
                <w:sz w:val="22"/>
                <w:szCs w:val="22"/>
              </w:rPr>
            </w:pPr>
            <w:r w:rsidRPr="00E655EE">
              <w:rPr>
                <w:rFonts w:ascii="Times New Roman" w:eastAsia="Times New Roman" w:hAnsi="Times New Roman" w:cs="Times New Roman"/>
                <w:b/>
                <w:bCs/>
                <w:i/>
                <w:sz w:val="22"/>
                <w:szCs w:val="22"/>
              </w:rPr>
              <w:t>Не применимо</w:t>
            </w:r>
          </w:p>
          <w:p w:rsidR="00BD2E19" w:rsidRPr="00E655EE" w:rsidRDefault="00BD2E19" w:rsidP="00E655EE">
            <w:pPr>
              <w:ind w:left="114" w:right="114"/>
              <w:jc w:val="both"/>
              <w:outlineLvl w:val="0"/>
              <w:rPr>
                <w:b/>
                <w:i/>
                <w:sz w:val="22"/>
                <w:szCs w:val="22"/>
              </w:rPr>
            </w:pPr>
          </w:p>
          <w:p w:rsidR="005C1A95" w:rsidRPr="00E655EE"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w:t>
            </w:r>
            <w:r w:rsidR="005C1A95" w:rsidRPr="00E655EE">
              <w:rPr>
                <w:rFonts w:ascii="Times New Roman" w:eastAsia="Times New Roman" w:hAnsi="Times New Roman" w:cs="Times New Roman"/>
                <w:bCs/>
                <w:sz w:val="22"/>
                <w:szCs w:val="22"/>
              </w:rPr>
              <w:t xml:space="preserve">4. </w:t>
            </w:r>
            <w:proofErr w:type="gramStart"/>
            <w:r w:rsidR="005C1A95" w:rsidRPr="00E655EE">
              <w:rPr>
                <w:rFonts w:ascii="Times New Roman" w:eastAsia="Times New Roman" w:hAnsi="Times New Roman" w:cs="Times New Roman"/>
                <w:bCs/>
                <w:sz w:val="22"/>
                <w:szCs w:val="22"/>
              </w:rPr>
              <w:t>Решение уполномоченного органа управления эмитента о приобретении его ценных бумаг, на основании которого эмитентом заключен договор (договоры), предусматривающий (предусматривающие) обязанность эмитента по приобретению его ценных бумаг (наименование уполномоченного органа управления эмитента, дата принятия соответствующего решения, дата составления и номер протокола заседания (собрания) уполномоченного органа управления эмитента в случае принятия соответствующего решения коллегиальным органом управления эмитента)</w:t>
            </w:r>
            <w:r w:rsidR="00E655EE">
              <w:rPr>
                <w:rFonts w:ascii="Times New Roman" w:eastAsia="Times New Roman" w:hAnsi="Times New Roman" w:cs="Times New Roman"/>
                <w:bCs/>
                <w:sz w:val="22"/>
                <w:szCs w:val="22"/>
              </w:rPr>
              <w:t>:</w:t>
            </w:r>
            <w:proofErr w:type="gramEnd"/>
          </w:p>
          <w:p w:rsidR="005C1A95" w:rsidRPr="00E655EE" w:rsidRDefault="005C1A95" w:rsidP="00E655EE">
            <w:pPr>
              <w:pStyle w:val="ConsPlusNormal"/>
              <w:ind w:left="114"/>
              <w:jc w:val="both"/>
              <w:rPr>
                <w:rFonts w:ascii="Times New Roman" w:eastAsia="Times New Roman" w:hAnsi="Times New Roman" w:cs="Times New Roman"/>
                <w:b/>
                <w:bCs/>
                <w:i/>
                <w:sz w:val="22"/>
                <w:szCs w:val="22"/>
              </w:rPr>
            </w:pPr>
            <w:r w:rsidRPr="00E655EE">
              <w:rPr>
                <w:rFonts w:ascii="Times New Roman" w:eastAsia="Times New Roman" w:hAnsi="Times New Roman" w:cs="Times New Roman"/>
                <w:b/>
                <w:bCs/>
                <w:i/>
                <w:sz w:val="22"/>
                <w:szCs w:val="22"/>
              </w:rPr>
              <w:t>Решение о выпуске ценных бумаг (государственный регистрационный номер 4-0</w:t>
            </w:r>
            <w:r w:rsidR="001305E3">
              <w:rPr>
                <w:rFonts w:ascii="Times New Roman" w:eastAsia="Times New Roman" w:hAnsi="Times New Roman" w:cs="Times New Roman"/>
                <w:b/>
                <w:bCs/>
                <w:i/>
                <w:sz w:val="22"/>
                <w:szCs w:val="22"/>
              </w:rPr>
              <w:t>3</w:t>
            </w:r>
            <w:r w:rsidRPr="00E655EE">
              <w:rPr>
                <w:rFonts w:ascii="Times New Roman" w:eastAsia="Times New Roman" w:hAnsi="Times New Roman" w:cs="Times New Roman"/>
                <w:b/>
                <w:bCs/>
                <w:i/>
                <w:sz w:val="22"/>
                <w:szCs w:val="22"/>
              </w:rPr>
              <w:t>-36420-R от 07.02.2013 г.), утвержденное решением единственного участника Общества с ограниченной ответственностью «Лента» (Решение № 116-Л от «15» октября 2012 г.).</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Pr="00E655EE"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2.5. Содержание решения уполномоченного органа управления эмитента о приобретении его ценных бумаг, на основании которого эмитентом заключен договор (договоры), предусматривающий (предусматривающие) обязанность эмитента п</w:t>
            </w:r>
            <w:r w:rsidR="00E655EE">
              <w:rPr>
                <w:rFonts w:ascii="Times New Roman" w:eastAsia="Times New Roman" w:hAnsi="Times New Roman" w:cs="Times New Roman"/>
                <w:bCs/>
                <w:sz w:val="22"/>
                <w:szCs w:val="22"/>
              </w:rPr>
              <w:t>о приобретению его ценных бумаг:</w:t>
            </w:r>
          </w:p>
          <w:p w:rsidR="00E655EE" w:rsidRPr="00E655EE" w:rsidRDefault="00E655EE" w:rsidP="00E655EE">
            <w:pPr>
              <w:pStyle w:val="ConsPlusNormal"/>
              <w:ind w:left="114"/>
              <w:jc w:val="both"/>
              <w:rPr>
                <w:rFonts w:ascii="Times New Roman" w:eastAsia="Times New Roman" w:hAnsi="Times New Roman" w:cs="Times New Roman"/>
                <w:b/>
                <w:bCs/>
                <w:i/>
                <w:sz w:val="22"/>
                <w:szCs w:val="22"/>
              </w:rPr>
            </w:pPr>
            <w:r w:rsidRPr="00E655EE">
              <w:rPr>
                <w:rFonts w:ascii="Times New Roman" w:eastAsia="Times New Roman" w:hAnsi="Times New Roman" w:cs="Times New Roman"/>
                <w:b/>
                <w:bCs/>
                <w:i/>
                <w:sz w:val="22"/>
                <w:szCs w:val="22"/>
              </w:rPr>
              <w:lastRenderedPageBreak/>
              <w:t xml:space="preserve">На основании п. 10.1. Решения о выпуске ценных бумаг – Облигаций серии </w:t>
            </w:r>
            <w:r w:rsidR="00997A2A" w:rsidRPr="00997A2A">
              <w:rPr>
                <w:rFonts w:ascii="Times New Roman" w:eastAsia="Times New Roman" w:hAnsi="Times New Roman" w:cs="Times New Roman"/>
                <w:b/>
                <w:bCs/>
                <w:i/>
                <w:sz w:val="22"/>
                <w:szCs w:val="22"/>
              </w:rPr>
              <w:t>03</w:t>
            </w:r>
            <w:r w:rsidRPr="00E655EE">
              <w:rPr>
                <w:rFonts w:ascii="Times New Roman" w:eastAsia="Times New Roman" w:hAnsi="Times New Roman" w:cs="Times New Roman"/>
                <w:b/>
                <w:bCs/>
                <w:i/>
                <w:sz w:val="22"/>
                <w:szCs w:val="22"/>
              </w:rPr>
              <w:t xml:space="preserve"> (государственный регистрационный номер 4-0</w:t>
            </w:r>
            <w:r w:rsidR="001305E3">
              <w:rPr>
                <w:rFonts w:ascii="Times New Roman" w:eastAsia="Times New Roman" w:hAnsi="Times New Roman" w:cs="Times New Roman"/>
                <w:b/>
                <w:bCs/>
                <w:i/>
                <w:sz w:val="22"/>
                <w:szCs w:val="22"/>
              </w:rPr>
              <w:t>3</w:t>
            </w:r>
            <w:r w:rsidRPr="00E655EE">
              <w:rPr>
                <w:rFonts w:ascii="Times New Roman" w:eastAsia="Times New Roman" w:hAnsi="Times New Roman" w:cs="Times New Roman"/>
                <w:b/>
                <w:bCs/>
                <w:i/>
                <w:sz w:val="22"/>
                <w:szCs w:val="22"/>
              </w:rPr>
              <w:t>-36420-R от 07.02.2013 г.), утвержденного решением единственного участника Общества с ограниченной ответственностью «Лента» (Решение № 116-Л от «15» октября 2012 г.):</w:t>
            </w:r>
          </w:p>
          <w:p w:rsidR="00E655EE" w:rsidRPr="00E655EE" w:rsidRDefault="00E655EE" w:rsidP="00E655EE">
            <w:pPr>
              <w:ind w:left="114"/>
              <w:jc w:val="both"/>
              <w:rPr>
                <w:b/>
                <w:i/>
                <w:sz w:val="22"/>
                <w:szCs w:val="22"/>
              </w:rPr>
            </w:pPr>
            <w:r>
              <w:rPr>
                <w:b/>
                <w:i/>
                <w:sz w:val="22"/>
                <w:szCs w:val="22"/>
              </w:rPr>
              <w:t>«</w:t>
            </w:r>
            <w:r w:rsidRPr="00E655EE">
              <w:rPr>
                <w:b/>
                <w:i/>
                <w:sz w:val="22"/>
                <w:szCs w:val="22"/>
              </w:rPr>
              <w:t>Эмитент обязан обеспечить право владельцев Облигаций требовать от Эмитента приобретения Облигаций в течение последних 5 (Пяти) рабочих дней купонного периода, предшествующего купонному периоду, размер купона по которому определяется Эмитентом после государственной регистрации Отчета об итогах выпуска Облигаций или после предоставления в регистрирующий орган уведомления об итогах выпуска ценных бумаг, если в соответствии с Федеральным законом «О рынке ценных бумаг» или иными федеральными законами эмиссия Облигаций осуществляется без государственной регистрации отчета об итогах выпуска ценных бумаг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пп. 2)-3) п. 9.5.1 Решения о выпуске ценных бумаг и п. 9.1.2 Проспекта ценных бумаг.</w:t>
            </w:r>
          </w:p>
          <w:p w:rsidR="00E655EE" w:rsidRPr="00E655EE" w:rsidRDefault="00E655EE" w:rsidP="00E655EE">
            <w:pPr>
              <w:ind w:left="114"/>
              <w:jc w:val="both"/>
              <w:rPr>
                <w:rStyle w:val="SUBST"/>
                <w:bCs/>
                <w:iCs/>
                <w:szCs w:val="22"/>
              </w:rPr>
            </w:pPr>
          </w:p>
          <w:p w:rsidR="00E655EE" w:rsidRPr="00E655EE" w:rsidRDefault="00E655EE" w:rsidP="00E655EE">
            <w:pPr>
              <w:ind w:left="114"/>
              <w:jc w:val="both"/>
              <w:rPr>
                <w:sz w:val="22"/>
                <w:szCs w:val="22"/>
              </w:rPr>
            </w:pPr>
            <w:r w:rsidRPr="00E655EE">
              <w:rPr>
                <w:sz w:val="22"/>
                <w:szCs w:val="22"/>
              </w:rPr>
              <w:t>Срок приобретения облигаций или порядок его определения:</w:t>
            </w:r>
          </w:p>
          <w:p w:rsidR="00E655EE" w:rsidRPr="00E655EE" w:rsidRDefault="00E655EE" w:rsidP="00E655EE">
            <w:pPr>
              <w:ind w:left="114"/>
              <w:jc w:val="both"/>
              <w:rPr>
                <w:rStyle w:val="SUBST"/>
                <w:bCs/>
                <w:iCs/>
                <w:szCs w:val="22"/>
              </w:rPr>
            </w:pPr>
            <w:r w:rsidRPr="00E655EE">
              <w:rPr>
                <w:rStyle w:val="SUBST"/>
                <w:bCs/>
                <w:iCs/>
                <w:szCs w:val="22"/>
              </w:rPr>
              <w:t>Датой приобретения Облигаций является</w:t>
            </w:r>
            <w:r w:rsidRPr="00E655EE">
              <w:rPr>
                <w:rStyle w:val="SUBST"/>
                <w:bCs/>
                <w:i w:val="0"/>
                <w:iCs/>
                <w:szCs w:val="22"/>
              </w:rPr>
              <w:t xml:space="preserve"> </w:t>
            </w:r>
            <w:r w:rsidRPr="00E655EE">
              <w:rPr>
                <w:rStyle w:val="SUBST"/>
                <w:bCs/>
                <w:iCs/>
                <w:szCs w:val="22"/>
              </w:rPr>
              <w:t xml:space="preserve">2-й (Второй) рабочий день </w:t>
            </w:r>
            <w:proofErr w:type="gramStart"/>
            <w:r w:rsidRPr="00E655EE">
              <w:rPr>
                <w:rStyle w:val="SUBST"/>
                <w:bCs/>
                <w:iCs/>
                <w:szCs w:val="22"/>
              </w:rPr>
              <w:t>с даты окончания</w:t>
            </w:r>
            <w:proofErr w:type="gramEnd"/>
            <w:r w:rsidRPr="00E655EE">
              <w:rPr>
                <w:rStyle w:val="SUBST"/>
                <w:bCs/>
                <w:iCs/>
                <w:szCs w:val="22"/>
              </w:rPr>
              <w:t xml:space="preserve"> Периода предъявления Облигаций к приобретению Эмитентом (далее – «Дата приобретения»).</w:t>
            </w:r>
          </w:p>
          <w:p w:rsidR="00E655EE" w:rsidRPr="00E655EE" w:rsidRDefault="00E655EE" w:rsidP="00E655EE">
            <w:pPr>
              <w:ind w:left="114"/>
              <w:jc w:val="both"/>
              <w:rPr>
                <w:sz w:val="22"/>
                <w:szCs w:val="22"/>
              </w:rPr>
            </w:pPr>
          </w:p>
          <w:p w:rsidR="00E655EE" w:rsidRPr="00E655EE" w:rsidRDefault="00E655EE" w:rsidP="00E655EE">
            <w:pPr>
              <w:ind w:left="114"/>
              <w:jc w:val="both"/>
              <w:rPr>
                <w:sz w:val="22"/>
                <w:szCs w:val="22"/>
              </w:rPr>
            </w:pPr>
            <w:r w:rsidRPr="00E655EE">
              <w:rPr>
                <w:sz w:val="22"/>
                <w:szCs w:val="22"/>
              </w:rPr>
              <w:t>Цена приобретения Облигаций:</w:t>
            </w:r>
          </w:p>
          <w:p w:rsidR="00E655EE" w:rsidRPr="00E655EE" w:rsidRDefault="00E655EE" w:rsidP="00E655EE">
            <w:pPr>
              <w:ind w:left="114"/>
              <w:jc w:val="both"/>
              <w:rPr>
                <w:rStyle w:val="SUBST"/>
                <w:bCs/>
                <w:iCs/>
                <w:szCs w:val="22"/>
              </w:rPr>
            </w:pPr>
            <w:r w:rsidRPr="00E655EE">
              <w:rPr>
                <w:rStyle w:val="SUBST"/>
                <w:bCs/>
                <w:iCs/>
                <w:szCs w:val="22"/>
              </w:rPr>
              <w:t xml:space="preserve">100% (Сто процентов) от непогашенной части </w:t>
            </w:r>
            <w:r w:rsidRPr="00E655EE">
              <w:rPr>
                <w:b/>
                <w:i/>
                <w:sz w:val="22"/>
                <w:szCs w:val="22"/>
              </w:rPr>
              <w:t xml:space="preserve">номинальной стоимости </w:t>
            </w:r>
            <w:r w:rsidRPr="00E655EE">
              <w:rPr>
                <w:rStyle w:val="SUBST"/>
                <w:bCs/>
                <w:iCs/>
                <w:szCs w:val="22"/>
              </w:rPr>
              <w:t>Облигаций.</w:t>
            </w:r>
          </w:p>
          <w:p w:rsidR="00E655EE" w:rsidRPr="00E655EE" w:rsidRDefault="00E655EE" w:rsidP="00E655EE">
            <w:pPr>
              <w:ind w:left="114"/>
              <w:jc w:val="both"/>
              <w:rPr>
                <w:rStyle w:val="SUBST"/>
                <w:bCs/>
                <w:iCs/>
                <w:szCs w:val="22"/>
              </w:rPr>
            </w:pPr>
            <w:r w:rsidRPr="00E655EE">
              <w:rPr>
                <w:rStyle w:val="SUBST"/>
                <w:bCs/>
                <w:iCs/>
                <w:szCs w:val="22"/>
              </w:rPr>
              <w:t xml:space="preserve">Эмитент при совершении операции купли-продажи в Дату приобретения Облигаций дополнительно уплачивает владельцам накопленный купонный доход по Облигациям (НКД), рассчитанный на Дату приобретения </w:t>
            </w:r>
            <w:r w:rsidRPr="00E655EE">
              <w:rPr>
                <w:rStyle w:val="SUBST"/>
                <w:szCs w:val="22"/>
              </w:rPr>
              <w:t>в соответствии с п. 15. Решения о выпуске ценных бумаг и п. 10.9. Проспекта ценных бумаг</w:t>
            </w:r>
            <w:proofErr w:type="gramStart"/>
            <w:r w:rsidRPr="00E655EE">
              <w:rPr>
                <w:rStyle w:val="SUBST"/>
                <w:bCs/>
                <w:iCs/>
                <w:szCs w:val="22"/>
              </w:rPr>
              <w:t>.</w:t>
            </w:r>
            <w:r>
              <w:rPr>
                <w:rStyle w:val="SUBST"/>
                <w:bCs/>
                <w:iCs/>
                <w:szCs w:val="22"/>
              </w:rPr>
              <w:t>»</w:t>
            </w:r>
            <w:proofErr w:type="gramEnd"/>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Pr="00997A2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2.6. Дата заключения эмитентом договора (даты заключения эмитентом первого и последнего договоров), предусматривающего (предусматривающих) обязанность эмитента п</w:t>
            </w:r>
            <w:r w:rsidR="00E655EE">
              <w:rPr>
                <w:rFonts w:ascii="Times New Roman" w:eastAsia="Times New Roman" w:hAnsi="Times New Roman" w:cs="Times New Roman"/>
                <w:bCs/>
                <w:sz w:val="22"/>
                <w:szCs w:val="22"/>
              </w:rPr>
              <w:t xml:space="preserve">о приобретению его </w:t>
            </w:r>
            <w:r w:rsidR="00E655EE" w:rsidRPr="00997A2A">
              <w:rPr>
                <w:rFonts w:ascii="Times New Roman" w:eastAsia="Times New Roman" w:hAnsi="Times New Roman" w:cs="Times New Roman"/>
                <w:bCs/>
                <w:sz w:val="22"/>
                <w:szCs w:val="22"/>
              </w:rPr>
              <w:t>ценных бумаг:</w:t>
            </w:r>
          </w:p>
          <w:p w:rsidR="00E655EE" w:rsidRPr="00E655EE" w:rsidRDefault="001305E3" w:rsidP="00E655EE">
            <w:pPr>
              <w:pStyle w:val="ConsPlusNormal"/>
              <w:ind w:left="114"/>
              <w:jc w:val="both"/>
              <w:rPr>
                <w:rFonts w:ascii="Times New Roman" w:eastAsia="Times New Roman" w:hAnsi="Times New Roman" w:cs="Times New Roman"/>
                <w:b/>
                <w:bCs/>
                <w:i/>
                <w:sz w:val="22"/>
                <w:szCs w:val="22"/>
              </w:rPr>
            </w:pPr>
            <w:r w:rsidRPr="00997A2A">
              <w:rPr>
                <w:rFonts w:ascii="Times New Roman" w:eastAsia="Times New Roman" w:hAnsi="Times New Roman" w:cs="Times New Roman"/>
                <w:b/>
                <w:bCs/>
                <w:i/>
                <w:sz w:val="22"/>
                <w:szCs w:val="22"/>
              </w:rPr>
              <w:t>03</w:t>
            </w:r>
            <w:r w:rsidR="00E655EE" w:rsidRPr="00997A2A">
              <w:rPr>
                <w:rFonts w:ascii="Times New Roman" w:eastAsia="Times New Roman" w:hAnsi="Times New Roman" w:cs="Times New Roman"/>
                <w:b/>
                <w:bCs/>
                <w:i/>
                <w:sz w:val="22"/>
                <w:szCs w:val="22"/>
              </w:rPr>
              <w:t>.03.2016</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2.7. Количество ценных бумаг эмитента соответствующего вида, категории (типа), в отношении которых у эмитента возникла обязанность по их приобретению на основании заключенного (заключенных)</w:t>
            </w:r>
            <w:r w:rsidR="00E655EE">
              <w:rPr>
                <w:rFonts w:ascii="Times New Roman" w:eastAsia="Times New Roman" w:hAnsi="Times New Roman" w:cs="Times New Roman"/>
                <w:bCs/>
                <w:sz w:val="22"/>
                <w:szCs w:val="22"/>
              </w:rPr>
              <w:t xml:space="preserve"> эмитентом договора (договоров):</w:t>
            </w:r>
          </w:p>
          <w:p w:rsidR="00E655EE" w:rsidRPr="00E655EE" w:rsidRDefault="009D24F0" w:rsidP="00E655EE">
            <w:pPr>
              <w:pStyle w:val="ConsPlusNormal"/>
              <w:ind w:left="114"/>
              <w:jc w:val="both"/>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rPr>
              <w:t xml:space="preserve">586 583 </w:t>
            </w:r>
            <w:r w:rsidR="00E655EE">
              <w:rPr>
                <w:rFonts w:ascii="Times New Roman" w:eastAsia="Times New Roman" w:hAnsi="Times New Roman" w:cs="Times New Roman"/>
                <w:b/>
                <w:bCs/>
                <w:i/>
                <w:sz w:val="22"/>
                <w:szCs w:val="22"/>
              </w:rPr>
              <w:t>штук</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2.8. Срок (порядок определения срока), в течение которого эмитент обязан приобрести (приобрел) соответствующее количество его ценных бумаг на основании заключенного (заключенных) эмитентом договора (договоров), предусматривающего (предусматривающих) обязанно</w:t>
            </w:r>
            <w:r w:rsidR="00E655EE">
              <w:rPr>
                <w:rFonts w:ascii="Times New Roman" w:eastAsia="Times New Roman" w:hAnsi="Times New Roman" w:cs="Times New Roman"/>
                <w:bCs/>
                <w:sz w:val="22"/>
                <w:szCs w:val="22"/>
              </w:rPr>
              <w:t>сть эмитента по их приобретению:</w:t>
            </w:r>
          </w:p>
          <w:p w:rsidR="00E655EE" w:rsidRPr="009D24F0" w:rsidRDefault="00A728F7" w:rsidP="00E655EE">
            <w:pPr>
              <w:pStyle w:val="ConsPlusNormal"/>
              <w:ind w:left="114"/>
              <w:jc w:val="both"/>
              <w:rPr>
                <w:rFonts w:ascii="Times New Roman" w:eastAsia="Times New Roman" w:hAnsi="Times New Roman" w:cs="Times New Roman"/>
                <w:b/>
                <w:bCs/>
                <w:i/>
                <w:sz w:val="22"/>
                <w:szCs w:val="22"/>
              </w:rPr>
            </w:pPr>
            <w:r w:rsidRPr="00997A2A">
              <w:rPr>
                <w:rFonts w:ascii="Times New Roman" w:eastAsia="Times New Roman" w:hAnsi="Times New Roman" w:cs="Times New Roman"/>
                <w:b/>
                <w:bCs/>
                <w:i/>
                <w:sz w:val="22"/>
                <w:szCs w:val="22"/>
              </w:rPr>
              <w:t>03.03.2016</w:t>
            </w:r>
          </w:p>
          <w:p w:rsidR="008232DF" w:rsidRPr="009D24F0" w:rsidRDefault="008232DF" w:rsidP="00E655EE">
            <w:pPr>
              <w:pStyle w:val="ConsPlusNormal"/>
              <w:ind w:left="114"/>
              <w:jc w:val="both"/>
              <w:rPr>
                <w:rFonts w:ascii="Times New Roman" w:eastAsia="Times New Roman" w:hAnsi="Times New Roman" w:cs="Times New Roman"/>
                <w:b/>
                <w:bCs/>
                <w:i/>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2.9. Количество ценных бумаг эмитента с тем же объемом прав, находившихся в собственности эмитента до заключения им договора (договоров), предусматривающего (предусматривающих) обязанность эмитента п</w:t>
            </w:r>
            <w:r w:rsidR="00E655EE">
              <w:rPr>
                <w:rFonts w:ascii="Times New Roman" w:eastAsia="Times New Roman" w:hAnsi="Times New Roman" w:cs="Times New Roman"/>
                <w:bCs/>
                <w:sz w:val="22"/>
                <w:szCs w:val="22"/>
              </w:rPr>
              <w:t>о приобретению его ценных бумаг:</w:t>
            </w:r>
          </w:p>
          <w:p w:rsidR="00E655EE" w:rsidRPr="00E655EE" w:rsidRDefault="00E655EE" w:rsidP="00E655EE">
            <w:pPr>
              <w:pStyle w:val="ConsPlusNormal"/>
              <w:ind w:left="114"/>
              <w:jc w:val="both"/>
              <w:rPr>
                <w:rFonts w:ascii="Times New Roman" w:eastAsia="Times New Roman" w:hAnsi="Times New Roman" w:cs="Times New Roman"/>
                <w:b/>
                <w:bCs/>
                <w:i/>
                <w:sz w:val="22"/>
                <w:szCs w:val="22"/>
              </w:rPr>
            </w:pPr>
            <w:r w:rsidRPr="00E655EE">
              <w:rPr>
                <w:rFonts w:ascii="Times New Roman" w:eastAsia="Times New Roman" w:hAnsi="Times New Roman" w:cs="Times New Roman"/>
                <w:b/>
                <w:bCs/>
                <w:i/>
                <w:sz w:val="22"/>
                <w:szCs w:val="22"/>
              </w:rPr>
              <w:t>0 штук</w:t>
            </w:r>
          </w:p>
          <w:p w:rsidR="00A3313A" w:rsidRPr="00E655EE" w:rsidRDefault="00A3313A" w:rsidP="00E655EE">
            <w:pPr>
              <w:pStyle w:val="ConsPlusNormal"/>
              <w:ind w:left="114"/>
              <w:jc w:val="both"/>
              <w:rPr>
                <w:rFonts w:ascii="Times New Roman" w:eastAsia="Times New Roman" w:hAnsi="Times New Roman" w:cs="Times New Roman"/>
                <w:bCs/>
                <w:sz w:val="22"/>
                <w:szCs w:val="22"/>
              </w:rPr>
            </w:pPr>
          </w:p>
          <w:p w:rsidR="00A3313A" w:rsidRDefault="00A3313A" w:rsidP="00E655EE">
            <w:pPr>
              <w:pStyle w:val="ConsPlusNormal"/>
              <w:ind w:left="114"/>
              <w:jc w:val="both"/>
              <w:rPr>
                <w:rFonts w:ascii="Times New Roman" w:eastAsia="Times New Roman" w:hAnsi="Times New Roman" w:cs="Times New Roman"/>
                <w:bCs/>
                <w:sz w:val="22"/>
                <w:szCs w:val="22"/>
              </w:rPr>
            </w:pPr>
            <w:r w:rsidRPr="00E655EE">
              <w:rPr>
                <w:rFonts w:ascii="Times New Roman" w:eastAsia="Times New Roman" w:hAnsi="Times New Roman" w:cs="Times New Roman"/>
                <w:bCs/>
                <w:sz w:val="22"/>
                <w:szCs w:val="22"/>
              </w:rPr>
              <w:t>2.10. Количество ценных бумаг эмитента с тем же объемом прав, которое будет находиться (находится) в собственности эмитента после приобретения им соответствующего количества его ценных бумаг на основании заключенного (заключенных) им договора (договоров), предусматривающего (предусматривающих) обязанность эмитента п</w:t>
            </w:r>
            <w:r w:rsidR="00E655EE">
              <w:rPr>
                <w:rFonts w:ascii="Times New Roman" w:eastAsia="Times New Roman" w:hAnsi="Times New Roman" w:cs="Times New Roman"/>
                <w:bCs/>
                <w:sz w:val="22"/>
                <w:szCs w:val="22"/>
              </w:rPr>
              <w:t>о приобретению его ценных бумаг:</w:t>
            </w:r>
          </w:p>
          <w:p w:rsidR="00E655EE" w:rsidRPr="00E655EE" w:rsidRDefault="00F17476" w:rsidP="00E655EE">
            <w:pPr>
              <w:pStyle w:val="ConsPlusNormal"/>
              <w:ind w:left="114"/>
              <w:jc w:val="both"/>
              <w:rPr>
                <w:rFonts w:ascii="Times New Roman" w:eastAsia="Times New Roman" w:hAnsi="Times New Roman" w:cs="Times New Roman"/>
                <w:b/>
                <w:bCs/>
                <w:i/>
                <w:sz w:val="22"/>
                <w:szCs w:val="22"/>
              </w:rPr>
            </w:pPr>
            <w:r w:rsidRPr="00F17476">
              <w:rPr>
                <w:rFonts w:ascii="Times New Roman" w:eastAsia="Times New Roman" w:hAnsi="Times New Roman" w:cs="Times New Roman"/>
                <w:b/>
                <w:bCs/>
                <w:i/>
                <w:sz w:val="22"/>
                <w:szCs w:val="22"/>
              </w:rPr>
              <w:t>586 583</w:t>
            </w:r>
            <w:r w:rsidR="005D3807">
              <w:rPr>
                <w:rFonts w:ascii="Times New Roman" w:eastAsia="Times New Roman" w:hAnsi="Times New Roman" w:cs="Times New Roman"/>
                <w:b/>
                <w:bCs/>
                <w:i/>
                <w:sz w:val="22"/>
                <w:szCs w:val="22"/>
              </w:rPr>
              <w:t xml:space="preserve"> </w:t>
            </w:r>
            <w:r w:rsidR="00E655EE">
              <w:rPr>
                <w:rFonts w:ascii="Times New Roman" w:eastAsia="Times New Roman" w:hAnsi="Times New Roman" w:cs="Times New Roman"/>
                <w:b/>
                <w:bCs/>
                <w:i/>
                <w:sz w:val="22"/>
                <w:szCs w:val="22"/>
              </w:rPr>
              <w:t>штук.</w:t>
            </w:r>
            <w:r>
              <w:rPr>
                <w:rFonts w:ascii="Times New Roman" w:eastAsia="Times New Roman" w:hAnsi="Times New Roman" w:cs="Times New Roman"/>
                <w:b/>
                <w:bCs/>
                <w:i/>
                <w:sz w:val="22"/>
                <w:szCs w:val="22"/>
              </w:rPr>
              <w:t xml:space="preserve"> На конец дня </w:t>
            </w:r>
            <w:r w:rsidRPr="00F17476">
              <w:rPr>
                <w:rFonts w:ascii="Times New Roman" w:eastAsia="Times New Roman" w:hAnsi="Times New Roman" w:cs="Times New Roman"/>
                <w:b/>
                <w:bCs/>
                <w:i/>
                <w:sz w:val="22"/>
                <w:szCs w:val="22"/>
              </w:rPr>
              <w:t>03.03.2016</w:t>
            </w:r>
            <w:r>
              <w:rPr>
                <w:rFonts w:ascii="Times New Roman" w:eastAsia="Times New Roman" w:hAnsi="Times New Roman" w:cs="Times New Roman"/>
                <w:b/>
                <w:bCs/>
                <w:i/>
                <w:sz w:val="22"/>
                <w:szCs w:val="22"/>
              </w:rPr>
              <w:t xml:space="preserve"> в собственности Эмитента находится 0 (Ноль) Облигаций, поскольку все приобретенные Облигации были проданы.</w:t>
            </w:r>
          </w:p>
          <w:p w:rsidR="00085B29" w:rsidRPr="00E655EE" w:rsidRDefault="00085B29" w:rsidP="00E655EE">
            <w:pPr>
              <w:pStyle w:val="a7"/>
              <w:tabs>
                <w:tab w:val="left" w:pos="9856"/>
              </w:tabs>
              <w:ind w:left="114" w:right="114"/>
              <w:jc w:val="both"/>
              <w:rPr>
                <w:b/>
                <w:sz w:val="22"/>
                <w:szCs w:val="22"/>
              </w:rPr>
            </w:pPr>
            <w:bookmarkStart w:id="0" w:name="_GoBack"/>
            <w:bookmarkEnd w:id="0"/>
          </w:p>
        </w:tc>
      </w:tr>
    </w:tbl>
    <w:p w:rsidR="00085B29" w:rsidRPr="00E655EE" w:rsidRDefault="00085B29" w:rsidP="00E655EE">
      <w:pPr>
        <w:tabs>
          <w:tab w:val="left" w:pos="567"/>
        </w:tabs>
        <w:ind w:left="142"/>
        <w:rPr>
          <w:sz w:val="22"/>
          <w:szCs w:val="22"/>
        </w:rPr>
      </w:pPr>
    </w:p>
    <w:tbl>
      <w:tblPr>
        <w:tblW w:w="100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4"/>
        <w:gridCol w:w="441"/>
        <w:gridCol w:w="289"/>
        <w:gridCol w:w="1299"/>
        <w:gridCol w:w="409"/>
        <w:gridCol w:w="302"/>
        <w:gridCol w:w="406"/>
        <w:gridCol w:w="1955"/>
        <w:gridCol w:w="280"/>
        <w:gridCol w:w="3072"/>
        <w:gridCol w:w="140"/>
      </w:tblGrid>
      <w:tr w:rsidR="00085B29" w:rsidRPr="00E655EE">
        <w:trPr>
          <w:cantSplit/>
          <w:trHeight w:val="238"/>
        </w:trPr>
        <w:tc>
          <w:tcPr>
            <w:tcW w:w="10057" w:type="dxa"/>
            <w:gridSpan w:val="11"/>
          </w:tcPr>
          <w:p w:rsidR="00085B29" w:rsidRPr="00E655EE" w:rsidRDefault="00085B29" w:rsidP="00E655EE">
            <w:pPr>
              <w:jc w:val="center"/>
              <w:rPr>
                <w:sz w:val="22"/>
                <w:szCs w:val="22"/>
              </w:rPr>
            </w:pPr>
            <w:r w:rsidRPr="00E655EE">
              <w:rPr>
                <w:sz w:val="22"/>
                <w:szCs w:val="22"/>
              </w:rPr>
              <w:t>3. Подпись</w:t>
            </w:r>
          </w:p>
        </w:tc>
      </w:tr>
      <w:tr w:rsidR="00085B29" w:rsidRPr="00E65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1"/>
        </w:trPr>
        <w:tc>
          <w:tcPr>
            <w:tcW w:w="4610" w:type="dxa"/>
            <w:gridSpan w:val="7"/>
            <w:tcBorders>
              <w:top w:val="single" w:sz="4" w:space="0" w:color="auto"/>
              <w:left w:val="single" w:sz="4" w:space="0" w:color="auto"/>
              <w:bottom w:val="nil"/>
              <w:right w:val="nil"/>
            </w:tcBorders>
            <w:vAlign w:val="bottom"/>
          </w:tcPr>
          <w:p w:rsidR="00085B29" w:rsidRPr="00E655EE" w:rsidRDefault="00085B29" w:rsidP="00E655EE">
            <w:pPr>
              <w:ind w:left="57"/>
              <w:rPr>
                <w:sz w:val="22"/>
                <w:szCs w:val="22"/>
              </w:rPr>
            </w:pPr>
            <w:r w:rsidRPr="00E655EE">
              <w:rPr>
                <w:sz w:val="22"/>
                <w:szCs w:val="22"/>
              </w:rPr>
              <w:lastRenderedPageBreak/>
              <w:t xml:space="preserve">3.1 </w:t>
            </w:r>
            <w:r w:rsidR="00EF01AF" w:rsidRPr="00E655EE">
              <w:rPr>
                <w:sz w:val="22"/>
                <w:szCs w:val="22"/>
              </w:rPr>
              <w:t>Генеральный директор ООО «Лента»</w:t>
            </w:r>
          </w:p>
        </w:tc>
        <w:tc>
          <w:tcPr>
            <w:tcW w:w="1955" w:type="dxa"/>
            <w:tcBorders>
              <w:top w:val="single" w:sz="4" w:space="0" w:color="auto"/>
              <w:left w:val="nil"/>
              <w:bottom w:val="single" w:sz="4" w:space="0" w:color="auto"/>
              <w:right w:val="nil"/>
            </w:tcBorders>
            <w:vAlign w:val="bottom"/>
          </w:tcPr>
          <w:p w:rsidR="00085B29" w:rsidRPr="00E655EE" w:rsidRDefault="00085B29" w:rsidP="00E655EE">
            <w:pPr>
              <w:jc w:val="center"/>
              <w:rPr>
                <w:sz w:val="22"/>
                <w:szCs w:val="22"/>
              </w:rPr>
            </w:pPr>
          </w:p>
        </w:tc>
        <w:tc>
          <w:tcPr>
            <w:tcW w:w="280" w:type="dxa"/>
            <w:tcBorders>
              <w:top w:val="single" w:sz="4" w:space="0" w:color="auto"/>
              <w:left w:val="nil"/>
              <w:bottom w:val="nil"/>
              <w:right w:val="nil"/>
            </w:tcBorders>
            <w:vAlign w:val="bottom"/>
          </w:tcPr>
          <w:p w:rsidR="00085B29" w:rsidRPr="00E655EE" w:rsidRDefault="00085B29" w:rsidP="00E655EE">
            <w:pPr>
              <w:rPr>
                <w:sz w:val="22"/>
                <w:szCs w:val="22"/>
              </w:rPr>
            </w:pPr>
          </w:p>
        </w:tc>
        <w:tc>
          <w:tcPr>
            <w:tcW w:w="3072" w:type="dxa"/>
            <w:tcBorders>
              <w:top w:val="single" w:sz="4" w:space="0" w:color="auto"/>
              <w:left w:val="nil"/>
              <w:bottom w:val="nil"/>
              <w:right w:val="nil"/>
            </w:tcBorders>
            <w:vAlign w:val="bottom"/>
          </w:tcPr>
          <w:p w:rsidR="00085B29" w:rsidRPr="00E655EE" w:rsidRDefault="00EF01AF" w:rsidP="00E655EE">
            <w:pPr>
              <w:ind w:left="-312" w:firstLine="312"/>
              <w:jc w:val="center"/>
              <w:rPr>
                <w:sz w:val="22"/>
                <w:szCs w:val="22"/>
              </w:rPr>
            </w:pPr>
            <w:r w:rsidRPr="00E655EE">
              <w:rPr>
                <w:sz w:val="22"/>
                <w:szCs w:val="22"/>
              </w:rPr>
              <w:t>Дюннинг Я.Г.</w:t>
            </w:r>
          </w:p>
        </w:tc>
        <w:tc>
          <w:tcPr>
            <w:tcW w:w="140" w:type="dxa"/>
            <w:tcBorders>
              <w:top w:val="single" w:sz="4" w:space="0" w:color="auto"/>
              <w:left w:val="nil"/>
              <w:bottom w:val="nil"/>
              <w:right w:val="single" w:sz="4" w:space="0" w:color="auto"/>
            </w:tcBorders>
            <w:vAlign w:val="bottom"/>
          </w:tcPr>
          <w:p w:rsidR="00085B29" w:rsidRPr="00E655EE" w:rsidRDefault="00085B29" w:rsidP="00E655EE">
            <w:pPr>
              <w:ind w:left="-170" w:firstLine="170"/>
              <w:rPr>
                <w:sz w:val="22"/>
                <w:szCs w:val="22"/>
              </w:rPr>
            </w:pPr>
          </w:p>
        </w:tc>
      </w:tr>
      <w:tr w:rsidR="00085B29" w:rsidRPr="00E65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2"/>
        </w:trPr>
        <w:tc>
          <w:tcPr>
            <w:tcW w:w="4610" w:type="dxa"/>
            <w:gridSpan w:val="7"/>
            <w:tcBorders>
              <w:top w:val="nil"/>
              <w:left w:val="single" w:sz="4" w:space="0" w:color="auto"/>
              <w:bottom w:val="nil"/>
              <w:right w:val="nil"/>
            </w:tcBorders>
          </w:tcPr>
          <w:p w:rsidR="00085B29" w:rsidRPr="00E655EE" w:rsidRDefault="00085B29" w:rsidP="00E655EE">
            <w:pPr>
              <w:ind w:left="57"/>
              <w:rPr>
                <w:sz w:val="22"/>
                <w:szCs w:val="22"/>
              </w:rPr>
            </w:pPr>
          </w:p>
        </w:tc>
        <w:tc>
          <w:tcPr>
            <w:tcW w:w="1955" w:type="dxa"/>
            <w:tcBorders>
              <w:top w:val="nil"/>
              <w:left w:val="nil"/>
              <w:bottom w:val="nil"/>
              <w:right w:val="nil"/>
            </w:tcBorders>
          </w:tcPr>
          <w:p w:rsidR="00085B29" w:rsidRPr="00E655EE" w:rsidRDefault="00085B29" w:rsidP="00E655EE">
            <w:pPr>
              <w:jc w:val="center"/>
              <w:rPr>
                <w:sz w:val="22"/>
                <w:szCs w:val="22"/>
              </w:rPr>
            </w:pPr>
            <w:r w:rsidRPr="00E655EE">
              <w:rPr>
                <w:sz w:val="22"/>
                <w:szCs w:val="22"/>
              </w:rPr>
              <w:t>(подпись)</w:t>
            </w:r>
          </w:p>
        </w:tc>
        <w:tc>
          <w:tcPr>
            <w:tcW w:w="280" w:type="dxa"/>
            <w:tcBorders>
              <w:top w:val="nil"/>
              <w:left w:val="nil"/>
              <w:bottom w:val="nil"/>
              <w:right w:val="nil"/>
            </w:tcBorders>
          </w:tcPr>
          <w:p w:rsidR="00085B29" w:rsidRPr="00E655EE" w:rsidRDefault="00085B29" w:rsidP="00E655EE">
            <w:pPr>
              <w:rPr>
                <w:sz w:val="22"/>
                <w:szCs w:val="22"/>
              </w:rPr>
            </w:pPr>
          </w:p>
        </w:tc>
        <w:tc>
          <w:tcPr>
            <w:tcW w:w="3072" w:type="dxa"/>
            <w:tcBorders>
              <w:top w:val="nil"/>
              <w:left w:val="nil"/>
              <w:bottom w:val="nil"/>
              <w:right w:val="nil"/>
            </w:tcBorders>
          </w:tcPr>
          <w:p w:rsidR="00085B29" w:rsidRPr="00E655EE" w:rsidRDefault="00085B29" w:rsidP="00E655EE">
            <w:pPr>
              <w:rPr>
                <w:sz w:val="22"/>
                <w:szCs w:val="22"/>
              </w:rPr>
            </w:pPr>
          </w:p>
        </w:tc>
        <w:tc>
          <w:tcPr>
            <w:tcW w:w="140" w:type="dxa"/>
            <w:tcBorders>
              <w:top w:val="nil"/>
              <w:left w:val="nil"/>
              <w:bottom w:val="nil"/>
              <w:right w:val="single" w:sz="4" w:space="0" w:color="auto"/>
            </w:tcBorders>
          </w:tcPr>
          <w:p w:rsidR="00085B29" w:rsidRPr="00E655EE" w:rsidRDefault="00085B29" w:rsidP="00E655EE">
            <w:pPr>
              <w:rPr>
                <w:sz w:val="22"/>
                <w:szCs w:val="22"/>
              </w:rPr>
            </w:pPr>
          </w:p>
        </w:tc>
      </w:tr>
      <w:tr w:rsidR="00085B29" w:rsidRPr="00E65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8"/>
        </w:trPr>
        <w:tc>
          <w:tcPr>
            <w:tcW w:w="1464" w:type="dxa"/>
            <w:tcBorders>
              <w:top w:val="nil"/>
              <w:left w:val="single" w:sz="4" w:space="0" w:color="auto"/>
              <w:bottom w:val="nil"/>
              <w:right w:val="nil"/>
            </w:tcBorders>
            <w:vAlign w:val="bottom"/>
          </w:tcPr>
          <w:p w:rsidR="00085B29" w:rsidRPr="00E655EE" w:rsidRDefault="00085B29" w:rsidP="00E655EE">
            <w:pPr>
              <w:ind w:left="57"/>
              <w:rPr>
                <w:sz w:val="22"/>
                <w:szCs w:val="22"/>
              </w:rPr>
            </w:pPr>
            <w:r w:rsidRPr="00E655EE">
              <w:rPr>
                <w:sz w:val="22"/>
                <w:szCs w:val="22"/>
              </w:rPr>
              <w:t xml:space="preserve">3.2 Дата </w:t>
            </w:r>
            <w:r w:rsidR="00A93F3E" w:rsidRPr="00E655EE">
              <w:rPr>
                <w:sz w:val="22"/>
                <w:szCs w:val="22"/>
                <w:lang w:val="en-US"/>
              </w:rPr>
              <w:t xml:space="preserve"> </w:t>
            </w:r>
            <w:r w:rsidRPr="00E655EE">
              <w:rPr>
                <w:sz w:val="22"/>
                <w:szCs w:val="22"/>
              </w:rPr>
              <w:t>“</w:t>
            </w:r>
          </w:p>
        </w:tc>
        <w:tc>
          <w:tcPr>
            <w:tcW w:w="441" w:type="dxa"/>
            <w:tcBorders>
              <w:top w:val="nil"/>
              <w:left w:val="nil"/>
              <w:bottom w:val="single" w:sz="4" w:space="0" w:color="auto"/>
              <w:right w:val="nil"/>
            </w:tcBorders>
            <w:vAlign w:val="bottom"/>
          </w:tcPr>
          <w:p w:rsidR="00085B29" w:rsidRPr="00997A2A" w:rsidRDefault="001305E3" w:rsidP="001305E3">
            <w:pPr>
              <w:jc w:val="center"/>
              <w:rPr>
                <w:sz w:val="22"/>
                <w:szCs w:val="22"/>
              </w:rPr>
            </w:pPr>
            <w:r w:rsidRPr="00997A2A">
              <w:rPr>
                <w:sz w:val="22"/>
                <w:szCs w:val="22"/>
              </w:rPr>
              <w:t>3</w:t>
            </w:r>
          </w:p>
        </w:tc>
        <w:tc>
          <w:tcPr>
            <w:tcW w:w="289" w:type="dxa"/>
            <w:tcBorders>
              <w:top w:val="nil"/>
              <w:left w:val="nil"/>
              <w:bottom w:val="nil"/>
              <w:right w:val="nil"/>
            </w:tcBorders>
            <w:vAlign w:val="bottom"/>
          </w:tcPr>
          <w:p w:rsidR="00085B29" w:rsidRPr="00997A2A" w:rsidRDefault="00085B29" w:rsidP="00E655EE">
            <w:pPr>
              <w:rPr>
                <w:sz w:val="22"/>
                <w:szCs w:val="22"/>
              </w:rPr>
            </w:pPr>
            <w:r w:rsidRPr="00997A2A">
              <w:rPr>
                <w:sz w:val="22"/>
                <w:szCs w:val="22"/>
              </w:rPr>
              <w:t>”</w:t>
            </w:r>
          </w:p>
        </w:tc>
        <w:tc>
          <w:tcPr>
            <w:tcW w:w="1299" w:type="dxa"/>
            <w:tcBorders>
              <w:top w:val="nil"/>
              <w:left w:val="nil"/>
              <w:bottom w:val="single" w:sz="4" w:space="0" w:color="auto"/>
              <w:right w:val="nil"/>
            </w:tcBorders>
            <w:vAlign w:val="bottom"/>
          </w:tcPr>
          <w:p w:rsidR="00085B29" w:rsidRPr="00997A2A" w:rsidRDefault="00E655EE" w:rsidP="00E655EE">
            <w:pPr>
              <w:jc w:val="center"/>
              <w:rPr>
                <w:sz w:val="22"/>
                <w:szCs w:val="22"/>
              </w:rPr>
            </w:pPr>
            <w:r w:rsidRPr="00997A2A">
              <w:rPr>
                <w:sz w:val="22"/>
                <w:szCs w:val="22"/>
              </w:rPr>
              <w:t>марта</w:t>
            </w:r>
          </w:p>
        </w:tc>
        <w:tc>
          <w:tcPr>
            <w:tcW w:w="409" w:type="dxa"/>
            <w:tcBorders>
              <w:top w:val="nil"/>
              <w:left w:val="nil"/>
              <w:bottom w:val="nil"/>
              <w:right w:val="nil"/>
            </w:tcBorders>
            <w:vAlign w:val="bottom"/>
          </w:tcPr>
          <w:p w:rsidR="00085B29" w:rsidRPr="00997A2A" w:rsidRDefault="00085B29" w:rsidP="00E655EE">
            <w:pPr>
              <w:ind w:right="-238"/>
              <w:jc w:val="right"/>
              <w:rPr>
                <w:sz w:val="22"/>
                <w:szCs w:val="22"/>
              </w:rPr>
            </w:pPr>
            <w:r w:rsidRPr="00997A2A">
              <w:rPr>
                <w:sz w:val="22"/>
                <w:szCs w:val="22"/>
              </w:rPr>
              <w:t>2012</w:t>
            </w:r>
          </w:p>
        </w:tc>
        <w:tc>
          <w:tcPr>
            <w:tcW w:w="302" w:type="dxa"/>
            <w:tcBorders>
              <w:top w:val="nil"/>
              <w:left w:val="nil"/>
              <w:bottom w:val="single" w:sz="4" w:space="0" w:color="auto"/>
              <w:right w:val="nil"/>
            </w:tcBorders>
            <w:vAlign w:val="bottom"/>
          </w:tcPr>
          <w:p w:rsidR="00085B29" w:rsidRPr="00997A2A" w:rsidRDefault="00085B29" w:rsidP="00E655EE">
            <w:pPr>
              <w:rPr>
                <w:sz w:val="22"/>
                <w:szCs w:val="22"/>
              </w:rPr>
            </w:pPr>
            <w:r w:rsidRPr="00997A2A">
              <w:rPr>
                <w:sz w:val="22"/>
                <w:szCs w:val="22"/>
              </w:rPr>
              <w:t>1</w:t>
            </w:r>
            <w:r w:rsidR="00E655EE" w:rsidRPr="00997A2A">
              <w:rPr>
                <w:sz w:val="22"/>
                <w:szCs w:val="22"/>
              </w:rPr>
              <w:t>6</w:t>
            </w:r>
          </w:p>
        </w:tc>
        <w:tc>
          <w:tcPr>
            <w:tcW w:w="406" w:type="dxa"/>
            <w:tcBorders>
              <w:top w:val="nil"/>
              <w:left w:val="nil"/>
              <w:bottom w:val="nil"/>
              <w:right w:val="nil"/>
            </w:tcBorders>
            <w:vAlign w:val="bottom"/>
          </w:tcPr>
          <w:p w:rsidR="00085B29" w:rsidRPr="00997A2A" w:rsidRDefault="00085B29" w:rsidP="00E655EE">
            <w:pPr>
              <w:ind w:left="57"/>
              <w:rPr>
                <w:sz w:val="22"/>
                <w:szCs w:val="22"/>
              </w:rPr>
            </w:pPr>
            <w:proofErr w:type="gramStart"/>
            <w:r w:rsidRPr="00997A2A">
              <w:rPr>
                <w:sz w:val="22"/>
                <w:szCs w:val="22"/>
              </w:rPr>
              <w:t>г</w:t>
            </w:r>
            <w:proofErr w:type="gramEnd"/>
            <w:r w:rsidRPr="00997A2A">
              <w:rPr>
                <w:sz w:val="22"/>
                <w:szCs w:val="22"/>
              </w:rPr>
              <w:t>.</w:t>
            </w:r>
          </w:p>
        </w:tc>
        <w:tc>
          <w:tcPr>
            <w:tcW w:w="1955" w:type="dxa"/>
            <w:tcBorders>
              <w:top w:val="nil"/>
              <w:left w:val="nil"/>
              <w:bottom w:val="nil"/>
              <w:right w:val="nil"/>
            </w:tcBorders>
            <w:vAlign w:val="bottom"/>
          </w:tcPr>
          <w:p w:rsidR="00085B29" w:rsidRPr="00E655EE" w:rsidRDefault="00085B29" w:rsidP="00E655EE">
            <w:pPr>
              <w:jc w:val="center"/>
              <w:rPr>
                <w:sz w:val="22"/>
                <w:szCs w:val="22"/>
              </w:rPr>
            </w:pPr>
            <w:r w:rsidRPr="00E655EE">
              <w:rPr>
                <w:sz w:val="22"/>
                <w:szCs w:val="22"/>
              </w:rPr>
              <w:t>М.П.</w:t>
            </w:r>
          </w:p>
        </w:tc>
        <w:tc>
          <w:tcPr>
            <w:tcW w:w="3492" w:type="dxa"/>
            <w:gridSpan w:val="3"/>
            <w:tcBorders>
              <w:top w:val="nil"/>
              <w:left w:val="nil"/>
              <w:bottom w:val="nil"/>
              <w:right w:val="single" w:sz="4" w:space="0" w:color="auto"/>
            </w:tcBorders>
            <w:vAlign w:val="bottom"/>
          </w:tcPr>
          <w:p w:rsidR="00085B29" w:rsidRPr="00E655EE" w:rsidRDefault="00085B29" w:rsidP="00E655EE">
            <w:pPr>
              <w:rPr>
                <w:sz w:val="22"/>
                <w:szCs w:val="22"/>
              </w:rPr>
            </w:pPr>
          </w:p>
        </w:tc>
      </w:tr>
      <w:tr w:rsidR="00085B29" w:rsidRPr="00E65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8"/>
        </w:trPr>
        <w:tc>
          <w:tcPr>
            <w:tcW w:w="4610" w:type="dxa"/>
            <w:gridSpan w:val="7"/>
            <w:tcBorders>
              <w:top w:val="nil"/>
              <w:left w:val="single" w:sz="4" w:space="0" w:color="auto"/>
              <w:bottom w:val="single" w:sz="4" w:space="0" w:color="auto"/>
              <w:right w:val="nil"/>
            </w:tcBorders>
          </w:tcPr>
          <w:p w:rsidR="00085B29" w:rsidRPr="00E655EE" w:rsidRDefault="00085B29" w:rsidP="00E655EE">
            <w:pPr>
              <w:ind w:left="57"/>
              <w:rPr>
                <w:sz w:val="22"/>
                <w:szCs w:val="22"/>
              </w:rPr>
            </w:pPr>
          </w:p>
        </w:tc>
        <w:tc>
          <w:tcPr>
            <w:tcW w:w="1955" w:type="dxa"/>
            <w:tcBorders>
              <w:top w:val="nil"/>
              <w:left w:val="nil"/>
              <w:bottom w:val="single" w:sz="4" w:space="0" w:color="auto"/>
              <w:right w:val="nil"/>
            </w:tcBorders>
          </w:tcPr>
          <w:p w:rsidR="00085B29" w:rsidRPr="00E655EE" w:rsidRDefault="00085B29" w:rsidP="00E655EE">
            <w:pPr>
              <w:jc w:val="center"/>
              <w:rPr>
                <w:sz w:val="22"/>
                <w:szCs w:val="22"/>
              </w:rPr>
            </w:pPr>
          </w:p>
        </w:tc>
        <w:tc>
          <w:tcPr>
            <w:tcW w:w="3492" w:type="dxa"/>
            <w:gridSpan w:val="3"/>
            <w:tcBorders>
              <w:top w:val="nil"/>
              <w:left w:val="nil"/>
              <w:bottom w:val="single" w:sz="4" w:space="0" w:color="auto"/>
              <w:right w:val="single" w:sz="4" w:space="0" w:color="auto"/>
            </w:tcBorders>
          </w:tcPr>
          <w:p w:rsidR="00085B29" w:rsidRPr="00E655EE" w:rsidRDefault="00085B29" w:rsidP="00E655EE">
            <w:pPr>
              <w:rPr>
                <w:sz w:val="22"/>
                <w:szCs w:val="22"/>
              </w:rPr>
            </w:pPr>
          </w:p>
        </w:tc>
      </w:tr>
    </w:tbl>
    <w:p w:rsidR="00085B29" w:rsidRPr="00E655EE" w:rsidRDefault="00085B29" w:rsidP="00E655EE">
      <w:pPr>
        <w:rPr>
          <w:sz w:val="22"/>
          <w:szCs w:val="22"/>
        </w:rPr>
      </w:pPr>
    </w:p>
    <w:sectPr w:rsidR="00085B29" w:rsidRPr="00E655EE" w:rsidSect="004539FF">
      <w:headerReference w:type="default" r:id="rId9"/>
      <w:pgSz w:w="11906" w:h="16838"/>
      <w:pgMar w:top="1134" w:right="851" w:bottom="1134" w:left="1418" w:header="680" w:footer="68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C0" w:rsidRDefault="00B302C0">
      <w:r>
        <w:separator/>
      </w:r>
    </w:p>
  </w:endnote>
  <w:endnote w:type="continuationSeparator" w:id="0">
    <w:p w:rsidR="00B302C0" w:rsidRDefault="00B3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C0" w:rsidRDefault="00B302C0">
      <w:r>
        <w:separator/>
      </w:r>
    </w:p>
  </w:footnote>
  <w:footnote w:type="continuationSeparator" w:id="0">
    <w:p w:rsidR="00B302C0" w:rsidRDefault="00B30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29" w:rsidRDefault="00085B29">
    <w:pPr>
      <w:pStyle w:val="a5"/>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70D8"/>
    <w:multiLevelType w:val="hybridMultilevel"/>
    <w:tmpl w:val="F96E8786"/>
    <w:lvl w:ilvl="0" w:tplc="D568B04C">
      <w:start w:val="1"/>
      <w:numFmt w:val="decimal"/>
      <w:lvlText w:val="%1."/>
      <w:lvlJc w:val="left"/>
      <w:pPr>
        <w:ind w:left="14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E4D53A2"/>
    <w:multiLevelType w:val="multilevel"/>
    <w:tmpl w:val="374E20EA"/>
    <w:lvl w:ilvl="0">
      <w:start w:val="1"/>
      <w:numFmt w:val="decimal"/>
      <w:lvlText w:val="%1."/>
      <w:lvlJc w:val="left"/>
      <w:pPr>
        <w:ind w:left="360" w:hanging="360"/>
      </w:pPr>
      <w:rPr>
        <w:rFonts w:ascii="Times New Roman" w:hAnsi="Times New Roman" w:cs="Times New Roman" w:hint="default"/>
        <w:b/>
        <w:i/>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40442C14"/>
    <w:multiLevelType w:val="hybridMultilevel"/>
    <w:tmpl w:val="CC905128"/>
    <w:lvl w:ilvl="0" w:tplc="D022493A">
      <w:start w:val="1"/>
      <w:numFmt w:val="decimal"/>
      <w:lvlText w:val="%1."/>
      <w:lvlJc w:val="left"/>
      <w:pPr>
        <w:ind w:left="36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0DA31CA"/>
    <w:multiLevelType w:val="multilevel"/>
    <w:tmpl w:val="CC905128"/>
    <w:lvl w:ilvl="0">
      <w:start w:val="1"/>
      <w:numFmt w:val="decimal"/>
      <w:lvlText w:val="%1."/>
      <w:lvlJc w:val="left"/>
      <w:pPr>
        <w:ind w:left="36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76EA3254"/>
    <w:multiLevelType w:val="hybridMultilevel"/>
    <w:tmpl w:val="720E04BC"/>
    <w:lvl w:ilvl="0" w:tplc="FFFFFFF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7C896A27"/>
    <w:multiLevelType w:val="hybridMultilevel"/>
    <w:tmpl w:val="F6D01FC6"/>
    <w:lvl w:ilvl="0" w:tplc="4D7A9E76">
      <w:start w:val="1"/>
      <w:numFmt w:val="decimal"/>
      <w:lvlText w:val="%1."/>
      <w:lvlJc w:val="left"/>
      <w:pPr>
        <w:ind w:left="3196" w:hanging="360"/>
      </w:pPr>
      <w:rPr>
        <w:rFonts w:cs="Times New Roman" w:hint="default"/>
        <w:b/>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6">
    <w:nsid w:val="7E280B8B"/>
    <w:multiLevelType w:val="hybridMultilevel"/>
    <w:tmpl w:val="E8AA4A2A"/>
    <w:lvl w:ilvl="0" w:tplc="596C0E70">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7EC80CD3"/>
    <w:multiLevelType w:val="hybridMultilevel"/>
    <w:tmpl w:val="373A066C"/>
    <w:lvl w:ilvl="0" w:tplc="4D7A9E76">
      <w:start w:val="1"/>
      <w:numFmt w:val="bullet"/>
      <w:lvlText w:val="-"/>
      <w:lvlJc w:val="left"/>
      <w:pPr>
        <w:tabs>
          <w:tab w:val="num" w:pos="1080"/>
        </w:tabs>
        <w:ind w:left="1080" w:hanging="360"/>
      </w:pPr>
      <w:rPr>
        <w:rFonts w:ascii="Times New Roman" w:hAnsi="Times New Roman" w:hint="default"/>
      </w:rPr>
    </w:lvl>
    <w:lvl w:ilvl="1" w:tplc="04190019" w:tentative="1">
      <w:start w:val="1"/>
      <w:numFmt w:val="bullet"/>
      <w:lvlText w:val="o"/>
      <w:lvlJc w:val="left"/>
      <w:pPr>
        <w:tabs>
          <w:tab w:val="num" w:pos="1800"/>
        </w:tabs>
        <w:ind w:left="1800" w:hanging="360"/>
      </w:pPr>
      <w:rPr>
        <w:rFonts w:ascii="Courier New" w:hAnsi="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6"/>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5F"/>
    <w:rsid w:val="00000AA6"/>
    <w:rsid w:val="0000297B"/>
    <w:rsid w:val="000037F9"/>
    <w:rsid w:val="00003D48"/>
    <w:rsid w:val="000055EC"/>
    <w:rsid w:val="00016DCE"/>
    <w:rsid w:val="00056F68"/>
    <w:rsid w:val="000612DD"/>
    <w:rsid w:val="0007014A"/>
    <w:rsid w:val="00070FA7"/>
    <w:rsid w:val="00071301"/>
    <w:rsid w:val="000852FB"/>
    <w:rsid w:val="00085B29"/>
    <w:rsid w:val="00085DDB"/>
    <w:rsid w:val="000926E2"/>
    <w:rsid w:val="000A3D41"/>
    <w:rsid w:val="000A665A"/>
    <w:rsid w:val="000C56E8"/>
    <w:rsid w:val="000D3F4A"/>
    <w:rsid w:val="000D5553"/>
    <w:rsid w:val="000D6D1B"/>
    <w:rsid w:val="000E1274"/>
    <w:rsid w:val="000E25F7"/>
    <w:rsid w:val="000E7568"/>
    <w:rsid w:val="001010FA"/>
    <w:rsid w:val="0010214D"/>
    <w:rsid w:val="00115C86"/>
    <w:rsid w:val="0011749C"/>
    <w:rsid w:val="001243CE"/>
    <w:rsid w:val="001278EC"/>
    <w:rsid w:val="001305E3"/>
    <w:rsid w:val="00135E11"/>
    <w:rsid w:val="001408A1"/>
    <w:rsid w:val="00143034"/>
    <w:rsid w:val="0015328F"/>
    <w:rsid w:val="00153979"/>
    <w:rsid w:val="001561A6"/>
    <w:rsid w:val="00160904"/>
    <w:rsid w:val="001664A0"/>
    <w:rsid w:val="00173E76"/>
    <w:rsid w:val="001775ED"/>
    <w:rsid w:val="00181AEB"/>
    <w:rsid w:val="0018496C"/>
    <w:rsid w:val="001904CB"/>
    <w:rsid w:val="001A3527"/>
    <w:rsid w:val="001A436C"/>
    <w:rsid w:val="001A5F25"/>
    <w:rsid w:val="001B3078"/>
    <w:rsid w:val="001B421D"/>
    <w:rsid w:val="001B6957"/>
    <w:rsid w:val="001B799C"/>
    <w:rsid w:val="001C76C2"/>
    <w:rsid w:val="001D01E4"/>
    <w:rsid w:val="001D0C48"/>
    <w:rsid w:val="001D5E3A"/>
    <w:rsid w:val="001E2D3F"/>
    <w:rsid w:val="001E7E9C"/>
    <w:rsid w:val="001E7FD3"/>
    <w:rsid w:val="001F7663"/>
    <w:rsid w:val="00211D89"/>
    <w:rsid w:val="0021778F"/>
    <w:rsid w:val="0022150E"/>
    <w:rsid w:val="00223030"/>
    <w:rsid w:val="00236030"/>
    <w:rsid w:val="0023617A"/>
    <w:rsid w:val="00240CC5"/>
    <w:rsid w:val="002474B5"/>
    <w:rsid w:val="002503FA"/>
    <w:rsid w:val="002519E6"/>
    <w:rsid w:val="0025520A"/>
    <w:rsid w:val="00255D08"/>
    <w:rsid w:val="00260FC3"/>
    <w:rsid w:val="00266168"/>
    <w:rsid w:val="002736F8"/>
    <w:rsid w:val="00292D37"/>
    <w:rsid w:val="002930A1"/>
    <w:rsid w:val="00293102"/>
    <w:rsid w:val="0029337E"/>
    <w:rsid w:val="0029419B"/>
    <w:rsid w:val="002A5918"/>
    <w:rsid w:val="002B4CEC"/>
    <w:rsid w:val="002B5A51"/>
    <w:rsid w:val="002D3177"/>
    <w:rsid w:val="002D43C9"/>
    <w:rsid w:val="002D7004"/>
    <w:rsid w:val="002E1AE5"/>
    <w:rsid w:val="002E2318"/>
    <w:rsid w:val="002F21C8"/>
    <w:rsid w:val="002F26EB"/>
    <w:rsid w:val="002F4DD0"/>
    <w:rsid w:val="00313AC4"/>
    <w:rsid w:val="0032020D"/>
    <w:rsid w:val="00320945"/>
    <w:rsid w:val="00334E39"/>
    <w:rsid w:val="003479E7"/>
    <w:rsid w:val="0035096D"/>
    <w:rsid w:val="00356D8F"/>
    <w:rsid w:val="00360DFF"/>
    <w:rsid w:val="00367330"/>
    <w:rsid w:val="00370D51"/>
    <w:rsid w:val="00371F99"/>
    <w:rsid w:val="00374C71"/>
    <w:rsid w:val="003754BD"/>
    <w:rsid w:val="00377A4C"/>
    <w:rsid w:val="00390463"/>
    <w:rsid w:val="00390C5E"/>
    <w:rsid w:val="00395B0A"/>
    <w:rsid w:val="003A7B84"/>
    <w:rsid w:val="003B4762"/>
    <w:rsid w:val="003C34A6"/>
    <w:rsid w:val="003D0A46"/>
    <w:rsid w:val="003D18F1"/>
    <w:rsid w:val="003D1FF8"/>
    <w:rsid w:val="003D23D0"/>
    <w:rsid w:val="003E0FA6"/>
    <w:rsid w:val="003E347E"/>
    <w:rsid w:val="003F1EBC"/>
    <w:rsid w:val="003F30ED"/>
    <w:rsid w:val="00400AB7"/>
    <w:rsid w:val="00412620"/>
    <w:rsid w:val="00415D18"/>
    <w:rsid w:val="004266F8"/>
    <w:rsid w:val="00430230"/>
    <w:rsid w:val="00430E49"/>
    <w:rsid w:val="0043369D"/>
    <w:rsid w:val="0043627C"/>
    <w:rsid w:val="00436A26"/>
    <w:rsid w:val="00437860"/>
    <w:rsid w:val="00442F1E"/>
    <w:rsid w:val="00444C87"/>
    <w:rsid w:val="004539FF"/>
    <w:rsid w:val="004563BA"/>
    <w:rsid w:val="00456F7B"/>
    <w:rsid w:val="004713FB"/>
    <w:rsid w:val="0047234E"/>
    <w:rsid w:val="00472DFD"/>
    <w:rsid w:val="004744A1"/>
    <w:rsid w:val="00484C42"/>
    <w:rsid w:val="00492F7D"/>
    <w:rsid w:val="004951EE"/>
    <w:rsid w:val="00497013"/>
    <w:rsid w:val="004A49F7"/>
    <w:rsid w:val="004A797E"/>
    <w:rsid w:val="004B3ADA"/>
    <w:rsid w:val="004B4E85"/>
    <w:rsid w:val="004B6BDA"/>
    <w:rsid w:val="004D77FB"/>
    <w:rsid w:val="004E08D6"/>
    <w:rsid w:val="004F0769"/>
    <w:rsid w:val="004F3742"/>
    <w:rsid w:val="00504592"/>
    <w:rsid w:val="005102C4"/>
    <w:rsid w:val="00510A17"/>
    <w:rsid w:val="005133D5"/>
    <w:rsid w:val="005147CA"/>
    <w:rsid w:val="00517025"/>
    <w:rsid w:val="00517BE9"/>
    <w:rsid w:val="00521B9D"/>
    <w:rsid w:val="00522B13"/>
    <w:rsid w:val="00530C5A"/>
    <w:rsid w:val="0053587E"/>
    <w:rsid w:val="0055023C"/>
    <w:rsid w:val="00552795"/>
    <w:rsid w:val="00560698"/>
    <w:rsid w:val="0057523E"/>
    <w:rsid w:val="00582245"/>
    <w:rsid w:val="00585323"/>
    <w:rsid w:val="00586D87"/>
    <w:rsid w:val="00587D72"/>
    <w:rsid w:val="00596190"/>
    <w:rsid w:val="005978F5"/>
    <w:rsid w:val="005A14EE"/>
    <w:rsid w:val="005A16F8"/>
    <w:rsid w:val="005B2514"/>
    <w:rsid w:val="005C1A95"/>
    <w:rsid w:val="005C42FB"/>
    <w:rsid w:val="005C5F18"/>
    <w:rsid w:val="005D20AC"/>
    <w:rsid w:val="005D2D31"/>
    <w:rsid w:val="005D3807"/>
    <w:rsid w:val="005E2827"/>
    <w:rsid w:val="005E3C27"/>
    <w:rsid w:val="005F66CB"/>
    <w:rsid w:val="006055B3"/>
    <w:rsid w:val="0061699E"/>
    <w:rsid w:val="006212A3"/>
    <w:rsid w:val="00630078"/>
    <w:rsid w:val="00630291"/>
    <w:rsid w:val="00630AF5"/>
    <w:rsid w:val="0063173D"/>
    <w:rsid w:val="0063757A"/>
    <w:rsid w:val="00644D4C"/>
    <w:rsid w:val="006534EE"/>
    <w:rsid w:val="0067024C"/>
    <w:rsid w:val="00682EA4"/>
    <w:rsid w:val="00685501"/>
    <w:rsid w:val="00685546"/>
    <w:rsid w:val="00687199"/>
    <w:rsid w:val="006919B1"/>
    <w:rsid w:val="00691DC8"/>
    <w:rsid w:val="006B1705"/>
    <w:rsid w:val="006B53CE"/>
    <w:rsid w:val="006B62EE"/>
    <w:rsid w:val="006C6AAA"/>
    <w:rsid w:val="006D0D82"/>
    <w:rsid w:val="006E03A6"/>
    <w:rsid w:val="006E18C3"/>
    <w:rsid w:val="006E417C"/>
    <w:rsid w:val="006E5494"/>
    <w:rsid w:val="006F452E"/>
    <w:rsid w:val="006F621C"/>
    <w:rsid w:val="00701FC9"/>
    <w:rsid w:val="00712FDF"/>
    <w:rsid w:val="00717BBE"/>
    <w:rsid w:val="00717E39"/>
    <w:rsid w:val="007312F1"/>
    <w:rsid w:val="00731A57"/>
    <w:rsid w:val="007332AB"/>
    <w:rsid w:val="00735716"/>
    <w:rsid w:val="00745D63"/>
    <w:rsid w:val="007500E6"/>
    <w:rsid w:val="007525DC"/>
    <w:rsid w:val="00755271"/>
    <w:rsid w:val="00765C42"/>
    <w:rsid w:val="007800B7"/>
    <w:rsid w:val="00792D8B"/>
    <w:rsid w:val="007973BA"/>
    <w:rsid w:val="007A10DA"/>
    <w:rsid w:val="007A4F0A"/>
    <w:rsid w:val="007B1AF3"/>
    <w:rsid w:val="007B1F48"/>
    <w:rsid w:val="007B59EA"/>
    <w:rsid w:val="007C0C5E"/>
    <w:rsid w:val="007C23AF"/>
    <w:rsid w:val="007D219F"/>
    <w:rsid w:val="007D63F4"/>
    <w:rsid w:val="007D6EDE"/>
    <w:rsid w:val="007E425F"/>
    <w:rsid w:val="007E7F77"/>
    <w:rsid w:val="00804C25"/>
    <w:rsid w:val="00813D70"/>
    <w:rsid w:val="00816DF9"/>
    <w:rsid w:val="00820148"/>
    <w:rsid w:val="008232DF"/>
    <w:rsid w:val="00825A0B"/>
    <w:rsid w:val="00826B2D"/>
    <w:rsid w:val="0083081C"/>
    <w:rsid w:val="00836FEC"/>
    <w:rsid w:val="008466D9"/>
    <w:rsid w:val="00855B4A"/>
    <w:rsid w:val="00855C11"/>
    <w:rsid w:val="008575BC"/>
    <w:rsid w:val="00877FD9"/>
    <w:rsid w:val="00880C3A"/>
    <w:rsid w:val="00890CB5"/>
    <w:rsid w:val="008A4315"/>
    <w:rsid w:val="008A46A0"/>
    <w:rsid w:val="008A6703"/>
    <w:rsid w:val="008B6A05"/>
    <w:rsid w:val="008C443C"/>
    <w:rsid w:val="008C4E29"/>
    <w:rsid w:val="008C62F5"/>
    <w:rsid w:val="008D0061"/>
    <w:rsid w:val="008D314E"/>
    <w:rsid w:val="008D31CC"/>
    <w:rsid w:val="008D3378"/>
    <w:rsid w:val="008E1EF4"/>
    <w:rsid w:val="008E3CBB"/>
    <w:rsid w:val="008E6E40"/>
    <w:rsid w:val="008E6FD7"/>
    <w:rsid w:val="008E7116"/>
    <w:rsid w:val="008E7C01"/>
    <w:rsid w:val="008F04D7"/>
    <w:rsid w:val="008F53E5"/>
    <w:rsid w:val="008F7719"/>
    <w:rsid w:val="009208BD"/>
    <w:rsid w:val="00923E53"/>
    <w:rsid w:val="00947F80"/>
    <w:rsid w:val="0095113C"/>
    <w:rsid w:val="009549FF"/>
    <w:rsid w:val="00961940"/>
    <w:rsid w:val="00971F09"/>
    <w:rsid w:val="00976B6B"/>
    <w:rsid w:val="0098124A"/>
    <w:rsid w:val="00985115"/>
    <w:rsid w:val="00990EB7"/>
    <w:rsid w:val="00997A2A"/>
    <w:rsid w:val="00997C78"/>
    <w:rsid w:val="009A0C5B"/>
    <w:rsid w:val="009B6F25"/>
    <w:rsid w:val="009C2788"/>
    <w:rsid w:val="009C4D77"/>
    <w:rsid w:val="009D24F0"/>
    <w:rsid w:val="009D5466"/>
    <w:rsid w:val="009E2826"/>
    <w:rsid w:val="009E43D3"/>
    <w:rsid w:val="009E5F19"/>
    <w:rsid w:val="009E7E4C"/>
    <w:rsid w:val="009F1370"/>
    <w:rsid w:val="009F20E3"/>
    <w:rsid w:val="00A04454"/>
    <w:rsid w:val="00A0446F"/>
    <w:rsid w:val="00A0449E"/>
    <w:rsid w:val="00A071ED"/>
    <w:rsid w:val="00A14EFB"/>
    <w:rsid w:val="00A30F1C"/>
    <w:rsid w:val="00A3313A"/>
    <w:rsid w:val="00A34A01"/>
    <w:rsid w:val="00A437DA"/>
    <w:rsid w:val="00A57641"/>
    <w:rsid w:val="00A644AC"/>
    <w:rsid w:val="00A728F7"/>
    <w:rsid w:val="00A74700"/>
    <w:rsid w:val="00A74B34"/>
    <w:rsid w:val="00A86F7C"/>
    <w:rsid w:val="00A927B5"/>
    <w:rsid w:val="00A92B44"/>
    <w:rsid w:val="00A92D1C"/>
    <w:rsid w:val="00A93F3E"/>
    <w:rsid w:val="00AA3047"/>
    <w:rsid w:val="00AA557F"/>
    <w:rsid w:val="00AB2734"/>
    <w:rsid w:val="00AB2967"/>
    <w:rsid w:val="00AC5262"/>
    <w:rsid w:val="00AD14CB"/>
    <w:rsid w:val="00AE43AF"/>
    <w:rsid w:val="00AE7B5A"/>
    <w:rsid w:val="00AF06E5"/>
    <w:rsid w:val="00AF0A24"/>
    <w:rsid w:val="00AF0D71"/>
    <w:rsid w:val="00AF25A3"/>
    <w:rsid w:val="00AF3E9D"/>
    <w:rsid w:val="00AF62DB"/>
    <w:rsid w:val="00B01923"/>
    <w:rsid w:val="00B04125"/>
    <w:rsid w:val="00B120D0"/>
    <w:rsid w:val="00B205B8"/>
    <w:rsid w:val="00B224BD"/>
    <w:rsid w:val="00B23440"/>
    <w:rsid w:val="00B302C0"/>
    <w:rsid w:val="00B35835"/>
    <w:rsid w:val="00B45AA0"/>
    <w:rsid w:val="00B460DF"/>
    <w:rsid w:val="00B46495"/>
    <w:rsid w:val="00B46753"/>
    <w:rsid w:val="00B51DF7"/>
    <w:rsid w:val="00B51FF3"/>
    <w:rsid w:val="00B52911"/>
    <w:rsid w:val="00B55EC4"/>
    <w:rsid w:val="00B6415F"/>
    <w:rsid w:val="00B6451E"/>
    <w:rsid w:val="00B6495B"/>
    <w:rsid w:val="00B67BDA"/>
    <w:rsid w:val="00B7307D"/>
    <w:rsid w:val="00B73547"/>
    <w:rsid w:val="00B74FD9"/>
    <w:rsid w:val="00B751B2"/>
    <w:rsid w:val="00B84B7A"/>
    <w:rsid w:val="00B86163"/>
    <w:rsid w:val="00B90ACB"/>
    <w:rsid w:val="00B91A29"/>
    <w:rsid w:val="00B91B10"/>
    <w:rsid w:val="00B979A2"/>
    <w:rsid w:val="00BB0E96"/>
    <w:rsid w:val="00BB205E"/>
    <w:rsid w:val="00BB2563"/>
    <w:rsid w:val="00BB695D"/>
    <w:rsid w:val="00BB735F"/>
    <w:rsid w:val="00BB791C"/>
    <w:rsid w:val="00BC037D"/>
    <w:rsid w:val="00BC0DE6"/>
    <w:rsid w:val="00BC1311"/>
    <w:rsid w:val="00BC1CC3"/>
    <w:rsid w:val="00BC324E"/>
    <w:rsid w:val="00BC4C1D"/>
    <w:rsid w:val="00BC7521"/>
    <w:rsid w:val="00BD2E19"/>
    <w:rsid w:val="00BE1889"/>
    <w:rsid w:val="00BE797C"/>
    <w:rsid w:val="00BF2585"/>
    <w:rsid w:val="00BF6776"/>
    <w:rsid w:val="00C048F4"/>
    <w:rsid w:val="00C106A6"/>
    <w:rsid w:val="00C11C2D"/>
    <w:rsid w:val="00C175FF"/>
    <w:rsid w:val="00C22FCA"/>
    <w:rsid w:val="00C247CB"/>
    <w:rsid w:val="00C271E8"/>
    <w:rsid w:val="00C30EFE"/>
    <w:rsid w:val="00C3400F"/>
    <w:rsid w:val="00C41F51"/>
    <w:rsid w:val="00C503B3"/>
    <w:rsid w:val="00C51BFF"/>
    <w:rsid w:val="00C52ABE"/>
    <w:rsid w:val="00C57050"/>
    <w:rsid w:val="00C57750"/>
    <w:rsid w:val="00C60203"/>
    <w:rsid w:val="00C61304"/>
    <w:rsid w:val="00C61DC8"/>
    <w:rsid w:val="00C639E1"/>
    <w:rsid w:val="00C64176"/>
    <w:rsid w:val="00C66BFB"/>
    <w:rsid w:val="00C67F00"/>
    <w:rsid w:val="00C759FE"/>
    <w:rsid w:val="00C80315"/>
    <w:rsid w:val="00C81BE5"/>
    <w:rsid w:val="00C83760"/>
    <w:rsid w:val="00C84E17"/>
    <w:rsid w:val="00C903E8"/>
    <w:rsid w:val="00C944E4"/>
    <w:rsid w:val="00C95A28"/>
    <w:rsid w:val="00C967EF"/>
    <w:rsid w:val="00CA5E75"/>
    <w:rsid w:val="00CB073C"/>
    <w:rsid w:val="00CB1EB7"/>
    <w:rsid w:val="00CC5DF2"/>
    <w:rsid w:val="00CD4CE0"/>
    <w:rsid w:val="00CE0CB1"/>
    <w:rsid w:val="00CE1004"/>
    <w:rsid w:val="00CE51BD"/>
    <w:rsid w:val="00CE7A1D"/>
    <w:rsid w:val="00CF4C07"/>
    <w:rsid w:val="00D00306"/>
    <w:rsid w:val="00D00DDD"/>
    <w:rsid w:val="00D05B51"/>
    <w:rsid w:val="00D07603"/>
    <w:rsid w:val="00D23923"/>
    <w:rsid w:val="00D24D23"/>
    <w:rsid w:val="00D2577A"/>
    <w:rsid w:val="00D27646"/>
    <w:rsid w:val="00D31E95"/>
    <w:rsid w:val="00D35CBB"/>
    <w:rsid w:val="00D40D95"/>
    <w:rsid w:val="00D45656"/>
    <w:rsid w:val="00D467CF"/>
    <w:rsid w:val="00D76DB9"/>
    <w:rsid w:val="00D85220"/>
    <w:rsid w:val="00D87EA0"/>
    <w:rsid w:val="00DA4B24"/>
    <w:rsid w:val="00DB2A19"/>
    <w:rsid w:val="00DC0485"/>
    <w:rsid w:val="00DC0A6C"/>
    <w:rsid w:val="00DC6051"/>
    <w:rsid w:val="00DD4620"/>
    <w:rsid w:val="00DD69C9"/>
    <w:rsid w:val="00DD7068"/>
    <w:rsid w:val="00DD7D59"/>
    <w:rsid w:val="00DE255D"/>
    <w:rsid w:val="00DF24EB"/>
    <w:rsid w:val="00DF28B6"/>
    <w:rsid w:val="00DF4CC1"/>
    <w:rsid w:val="00DF5149"/>
    <w:rsid w:val="00DF7677"/>
    <w:rsid w:val="00E0283D"/>
    <w:rsid w:val="00E055F4"/>
    <w:rsid w:val="00E12A4E"/>
    <w:rsid w:val="00E13AD6"/>
    <w:rsid w:val="00E205E0"/>
    <w:rsid w:val="00E206ED"/>
    <w:rsid w:val="00E300E9"/>
    <w:rsid w:val="00E32395"/>
    <w:rsid w:val="00E33DF6"/>
    <w:rsid w:val="00E37531"/>
    <w:rsid w:val="00E43405"/>
    <w:rsid w:val="00E46E1A"/>
    <w:rsid w:val="00E51955"/>
    <w:rsid w:val="00E52246"/>
    <w:rsid w:val="00E53840"/>
    <w:rsid w:val="00E6175D"/>
    <w:rsid w:val="00E655EE"/>
    <w:rsid w:val="00E72A51"/>
    <w:rsid w:val="00E764E5"/>
    <w:rsid w:val="00E76943"/>
    <w:rsid w:val="00E77EED"/>
    <w:rsid w:val="00E80F39"/>
    <w:rsid w:val="00E82C57"/>
    <w:rsid w:val="00E91581"/>
    <w:rsid w:val="00E918FF"/>
    <w:rsid w:val="00E9453A"/>
    <w:rsid w:val="00EA1C83"/>
    <w:rsid w:val="00EB7124"/>
    <w:rsid w:val="00EC4891"/>
    <w:rsid w:val="00EC6F35"/>
    <w:rsid w:val="00ED215D"/>
    <w:rsid w:val="00ED4F73"/>
    <w:rsid w:val="00EE5FA0"/>
    <w:rsid w:val="00EF01AF"/>
    <w:rsid w:val="00EF422D"/>
    <w:rsid w:val="00F07040"/>
    <w:rsid w:val="00F139CB"/>
    <w:rsid w:val="00F162FC"/>
    <w:rsid w:val="00F17476"/>
    <w:rsid w:val="00F203DC"/>
    <w:rsid w:val="00F257C3"/>
    <w:rsid w:val="00F2741C"/>
    <w:rsid w:val="00F31A6A"/>
    <w:rsid w:val="00F33DF9"/>
    <w:rsid w:val="00F439C1"/>
    <w:rsid w:val="00F55A5A"/>
    <w:rsid w:val="00F55B7F"/>
    <w:rsid w:val="00F57BC1"/>
    <w:rsid w:val="00F718AE"/>
    <w:rsid w:val="00F72A2C"/>
    <w:rsid w:val="00F73E7F"/>
    <w:rsid w:val="00F770E2"/>
    <w:rsid w:val="00F83D2E"/>
    <w:rsid w:val="00F86043"/>
    <w:rsid w:val="00FB5444"/>
    <w:rsid w:val="00FB7348"/>
    <w:rsid w:val="00FB7A86"/>
    <w:rsid w:val="00FC0DD1"/>
    <w:rsid w:val="00FC120F"/>
    <w:rsid w:val="00FC39A6"/>
    <w:rsid w:val="00FD1618"/>
    <w:rsid w:val="00FD4BE4"/>
    <w:rsid w:val="00FD65D0"/>
    <w:rsid w:val="00FD6FC9"/>
    <w:rsid w:val="00FD71CB"/>
    <w:rsid w:val="00FE3E6A"/>
    <w:rsid w:val="00FE4F7D"/>
    <w:rsid w:val="00FE4FF3"/>
    <w:rsid w:val="00FF6568"/>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F"/>
    <w:pPr>
      <w:autoSpaceDE w:val="0"/>
      <w:autoSpaceDN w:val="0"/>
    </w:pPr>
    <w:rPr>
      <w:sz w:val="20"/>
      <w:szCs w:val="20"/>
    </w:rPr>
  </w:style>
  <w:style w:type="paragraph" w:styleId="2">
    <w:name w:val="heading 2"/>
    <w:basedOn w:val="a"/>
    <w:next w:val="a"/>
    <w:link w:val="20"/>
    <w:uiPriority w:val="99"/>
    <w:qFormat/>
    <w:rsid w:val="00D05B51"/>
    <w:pPr>
      <w:keepNext/>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05B51"/>
    <w:rPr>
      <w:rFonts w:ascii="Cambria" w:hAnsi="Cambria"/>
      <w:b/>
      <w:i/>
      <w:sz w:val="28"/>
    </w:rPr>
  </w:style>
  <w:style w:type="paragraph" w:styleId="a3">
    <w:name w:val="Balloon Text"/>
    <w:basedOn w:val="a"/>
    <w:link w:val="a4"/>
    <w:uiPriority w:val="99"/>
    <w:semiHidden/>
    <w:rsid w:val="007E425F"/>
    <w:rPr>
      <w:rFonts w:ascii="Tahoma" w:hAnsi="Tahoma"/>
      <w:sz w:val="16"/>
      <w:szCs w:val="16"/>
    </w:rPr>
  </w:style>
  <w:style w:type="character" w:customStyle="1" w:styleId="a4">
    <w:name w:val="Текст выноски Знак"/>
    <w:basedOn w:val="a0"/>
    <w:link w:val="a3"/>
    <w:uiPriority w:val="99"/>
    <w:semiHidden/>
    <w:locked/>
    <w:rsid w:val="00D05B51"/>
    <w:rPr>
      <w:rFonts w:ascii="Tahoma" w:hAnsi="Tahoma"/>
      <w:sz w:val="16"/>
    </w:rPr>
  </w:style>
  <w:style w:type="paragraph" w:customStyle="1" w:styleId="ConsNormal">
    <w:name w:val="ConsNormal"/>
    <w:uiPriority w:val="99"/>
    <w:rsid w:val="00D05B51"/>
    <w:pPr>
      <w:autoSpaceDE w:val="0"/>
      <w:autoSpaceDN w:val="0"/>
      <w:ind w:right="19771" w:firstLine="539"/>
      <w:jc w:val="both"/>
    </w:pPr>
    <w:rPr>
      <w:rFonts w:ascii="Courier New" w:hAnsi="Courier New" w:cs="Courier New"/>
      <w:sz w:val="20"/>
      <w:szCs w:val="20"/>
      <w:lang w:val="en-US"/>
    </w:rPr>
  </w:style>
  <w:style w:type="paragraph" w:customStyle="1" w:styleId="ConsNonformat">
    <w:name w:val="ConsNonformat"/>
    <w:link w:val="ConsNonformat0"/>
    <w:uiPriority w:val="99"/>
    <w:rsid w:val="00D05B51"/>
    <w:pPr>
      <w:widowControl w:val="0"/>
      <w:autoSpaceDE w:val="0"/>
      <w:autoSpaceDN w:val="0"/>
      <w:jc w:val="both"/>
    </w:pPr>
    <w:rPr>
      <w:rFonts w:ascii="Courier New" w:hAnsi="Courier New" w:cs="Courier New"/>
      <w:sz w:val="20"/>
      <w:szCs w:val="20"/>
    </w:rPr>
  </w:style>
  <w:style w:type="paragraph" w:styleId="a5">
    <w:name w:val="header"/>
    <w:basedOn w:val="a"/>
    <w:link w:val="a6"/>
    <w:uiPriority w:val="99"/>
    <w:rsid w:val="00D05B51"/>
    <w:pPr>
      <w:tabs>
        <w:tab w:val="center" w:pos="4153"/>
        <w:tab w:val="right" w:pos="8306"/>
      </w:tabs>
    </w:pPr>
  </w:style>
  <w:style w:type="character" w:customStyle="1" w:styleId="a6">
    <w:name w:val="Верхний колонтитул Знак"/>
    <w:basedOn w:val="a0"/>
    <w:link w:val="a5"/>
    <w:uiPriority w:val="99"/>
    <w:locked/>
    <w:rsid w:val="00D05B51"/>
    <w:rPr>
      <w:sz w:val="20"/>
    </w:rPr>
  </w:style>
  <w:style w:type="paragraph" w:styleId="a7">
    <w:name w:val="footer"/>
    <w:basedOn w:val="a"/>
    <w:link w:val="a8"/>
    <w:uiPriority w:val="99"/>
    <w:rsid w:val="00D05B51"/>
    <w:pPr>
      <w:tabs>
        <w:tab w:val="center" w:pos="4153"/>
        <w:tab w:val="right" w:pos="8306"/>
      </w:tabs>
    </w:pPr>
  </w:style>
  <w:style w:type="character" w:customStyle="1" w:styleId="a8">
    <w:name w:val="Нижний колонтитул Знак"/>
    <w:basedOn w:val="a0"/>
    <w:link w:val="a7"/>
    <w:uiPriority w:val="99"/>
    <w:locked/>
    <w:rsid w:val="00D05B51"/>
    <w:rPr>
      <w:sz w:val="20"/>
    </w:rPr>
  </w:style>
  <w:style w:type="character" w:customStyle="1" w:styleId="SUBST">
    <w:name w:val="__SUBST"/>
    <w:rsid w:val="00D05B51"/>
    <w:rPr>
      <w:b/>
      <w:i/>
      <w:sz w:val="22"/>
    </w:rPr>
  </w:style>
  <w:style w:type="paragraph" w:styleId="21">
    <w:name w:val="Body Text 2"/>
    <w:basedOn w:val="a"/>
    <w:link w:val="22"/>
    <w:uiPriority w:val="99"/>
    <w:rsid w:val="00D05B51"/>
    <w:pPr>
      <w:widowControl w:val="0"/>
      <w:spacing w:before="40"/>
      <w:ind w:left="200"/>
    </w:pPr>
  </w:style>
  <w:style w:type="character" w:customStyle="1" w:styleId="22">
    <w:name w:val="Основной текст 2 Знак"/>
    <w:basedOn w:val="a0"/>
    <w:link w:val="21"/>
    <w:uiPriority w:val="99"/>
    <w:semiHidden/>
    <w:locked/>
    <w:rsid w:val="00D05B51"/>
    <w:rPr>
      <w:sz w:val="20"/>
    </w:rPr>
  </w:style>
  <w:style w:type="paragraph" w:styleId="23">
    <w:name w:val="Body Text Indent 2"/>
    <w:basedOn w:val="a"/>
    <w:link w:val="24"/>
    <w:uiPriority w:val="99"/>
    <w:rsid w:val="00D05B51"/>
    <w:pPr>
      <w:ind w:left="1230" w:hanging="690"/>
    </w:pPr>
  </w:style>
  <w:style w:type="character" w:customStyle="1" w:styleId="24">
    <w:name w:val="Основной текст с отступом 2 Знак"/>
    <w:basedOn w:val="a0"/>
    <w:link w:val="23"/>
    <w:uiPriority w:val="99"/>
    <w:semiHidden/>
    <w:locked/>
    <w:rsid w:val="00D05B51"/>
    <w:rPr>
      <w:sz w:val="20"/>
    </w:rPr>
  </w:style>
  <w:style w:type="character" w:styleId="a9">
    <w:name w:val="Hyperlink"/>
    <w:basedOn w:val="a0"/>
    <w:uiPriority w:val="99"/>
    <w:rsid w:val="00820148"/>
    <w:rPr>
      <w:rFonts w:cs="Times New Roman"/>
      <w:color w:val="0000FF"/>
      <w:u w:val="single"/>
    </w:rPr>
  </w:style>
  <w:style w:type="paragraph" w:customStyle="1" w:styleId="CharChar">
    <w:name w:val="Char Char"/>
    <w:basedOn w:val="a"/>
    <w:uiPriority w:val="99"/>
    <w:rsid w:val="00820148"/>
    <w:pPr>
      <w:widowControl w:val="0"/>
      <w:tabs>
        <w:tab w:val="num" w:pos="435"/>
      </w:tabs>
      <w:autoSpaceDE/>
      <w:autoSpaceDN/>
      <w:adjustRightInd w:val="0"/>
      <w:spacing w:after="160" w:line="240" w:lineRule="exact"/>
      <w:ind w:left="435" w:hanging="435"/>
      <w:jc w:val="center"/>
    </w:pPr>
    <w:rPr>
      <w:b/>
      <w:bCs/>
      <w:i/>
      <w:iCs/>
      <w:sz w:val="28"/>
      <w:szCs w:val="28"/>
      <w:lang w:val="en-GB" w:eastAsia="en-US"/>
    </w:rPr>
  </w:style>
  <w:style w:type="paragraph" w:customStyle="1" w:styleId="CharChar0">
    <w:name w:val="Знак Знак Char Char"/>
    <w:basedOn w:val="a"/>
    <w:uiPriority w:val="99"/>
    <w:rsid w:val="0022150E"/>
    <w:pPr>
      <w:tabs>
        <w:tab w:val="num" w:pos="360"/>
      </w:tabs>
      <w:autoSpaceDE/>
      <w:autoSpaceDN/>
      <w:spacing w:after="160" w:line="240" w:lineRule="exact"/>
    </w:pPr>
    <w:rPr>
      <w:noProof/>
      <w:sz w:val="24"/>
      <w:szCs w:val="24"/>
      <w:lang w:val="en-US"/>
    </w:rPr>
  </w:style>
  <w:style w:type="paragraph" w:customStyle="1" w:styleId="CharChar1">
    <w:name w:val="Знак Знак Знак Char Char1"/>
    <w:basedOn w:val="a"/>
    <w:uiPriority w:val="99"/>
    <w:rsid w:val="000D5553"/>
    <w:pPr>
      <w:tabs>
        <w:tab w:val="left" w:pos="540"/>
        <w:tab w:val="left" w:pos="1260"/>
        <w:tab w:val="left" w:pos="1800"/>
      </w:tabs>
      <w:autoSpaceDE/>
      <w:autoSpaceDN/>
      <w:spacing w:before="240" w:after="160" w:line="240" w:lineRule="exact"/>
    </w:pPr>
    <w:rPr>
      <w:rFonts w:ascii="Verdana" w:hAnsi="Verdana" w:cs="Verdana"/>
      <w:sz w:val="24"/>
      <w:szCs w:val="24"/>
      <w:lang w:val="en-US" w:eastAsia="en-US"/>
    </w:rPr>
  </w:style>
  <w:style w:type="paragraph" w:styleId="aa">
    <w:name w:val="Body Text"/>
    <w:basedOn w:val="a"/>
    <w:link w:val="ab"/>
    <w:uiPriority w:val="99"/>
    <w:rsid w:val="000D5553"/>
    <w:pPr>
      <w:autoSpaceDE/>
      <w:autoSpaceDN/>
      <w:spacing w:after="120"/>
    </w:pPr>
  </w:style>
  <w:style w:type="character" w:customStyle="1" w:styleId="ab">
    <w:name w:val="Основной текст Знак"/>
    <w:basedOn w:val="a0"/>
    <w:link w:val="aa"/>
    <w:uiPriority w:val="99"/>
    <w:semiHidden/>
    <w:locked/>
    <w:rsid w:val="00D05B51"/>
    <w:rPr>
      <w:sz w:val="20"/>
    </w:rPr>
  </w:style>
  <w:style w:type="paragraph" w:customStyle="1" w:styleId="CharChar2">
    <w:name w:val="Знак Знак Знак Char Char"/>
    <w:basedOn w:val="a"/>
    <w:uiPriority w:val="99"/>
    <w:rsid w:val="000D5553"/>
    <w:pPr>
      <w:tabs>
        <w:tab w:val="left" w:pos="540"/>
        <w:tab w:val="left" w:pos="1260"/>
        <w:tab w:val="left" w:pos="1800"/>
      </w:tabs>
      <w:autoSpaceDE/>
      <w:autoSpaceDN/>
      <w:spacing w:before="240" w:after="160" w:line="240" w:lineRule="exact"/>
    </w:pPr>
    <w:rPr>
      <w:rFonts w:ascii="Verdana" w:hAnsi="Verdana" w:cs="Verdana"/>
      <w:sz w:val="24"/>
      <w:szCs w:val="24"/>
      <w:lang w:val="en-US" w:eastAsia="en-US"/>
    </w:rPr>
  </w:style>
  <w:style w:type="character" w:styleId="ac">
    <w:name w:val="Strong"/>
    <w:basedOn w:val="a0"/>
    <w:uiPriority w:val="99"/>
    <w:qFormat/>
    <w:rsid w:val="009B6F25"/>
    <w:rPr>
      <w:rFonts w:cs="Times New Roman"/>
      <w:b/>
      <w:spacing w:val="0"/>
    </w:rPr>
  </w:style>
  <w:style w:type="character" w:styleId="ad">
    <w:name w:val="annotation reference"/>
    <w:basedOn w:val="a0"/>
    <w:uiPriority w:val="99"/>
    <w:semiHidden/>
    <w:rsid w:val="007800B7"/>
    <w:rPr>
      <w:rFonts w:cs="Times New Roman"/>
      <w:sz w:val="16"/>
    </w:rPr>
  </w:style>
  <w:style w:type="paragraph" w:styleId="ae">
    <w:name w:val="annotation text"/>
    <w:basedOn w:val="a"/>
    <w:link w:val="af"/>
    <w:uiPriority w:val="99"/>
    <w:semiHidden/>
    <w:rsid w:val="007800B7"/>
  </w:style>
  <w:style w:type="character" w:customStyle="1" w:styleId="CommentTextChar">
    <w:name w:val="Comment Text Char"/>
    <w:basedOn w:val="a0"/>
    <w:uiPriority w:val="99"/>
    <w:locked/>
    <w:rsid w:val="00293102"/>
    <w:rPr>
      <w:rFonts w:ascii="Calibri" w:hAnsi="Calibri" w:cs="Times New Roman"/>
      <w:sz w:val="20"/>
      <w:szCs w:val="20"/>
      <w:lang w:eastAsia="ru-RU"/>
    </w:rPr>
  </w:style>
  <w:style w:type="character" w:customStyle="1" w:styleId="af">
    <w:name w:val="Текст примечания Знак"/>
    <w:link w:val="ae"/>
    <w:uiPriority w:val="99"/>
    <w:semiHidden/>
    <w:locked/>
    <w:rsid w:val="00D05B51"/>
    <w:rPr>
      <w:sz w:val="20"/>
    </w:rPr>
  </w:style>
  <w:style w:type="paragraph" w:styleId="af0">
    <w:name w:val="annotation subject"/>
    <w:basedOn w:val="ae"/>
    <w:next w:val="ae"/>
    <w:link w:val="af1"/>
    <w:uiPriority w:val="99"/>
    <w:semiHidden/>
    <w:rsid w:val="007800B7"/>
    <w:rPr>
      <w:b/>
      <w:bCs/>
    </w:rPr>
  </w:style>
  <w:style w:type="character" w:customStyle="1" w:styleId="af1">
    <w:name w:val="Тема примечания Знак"/>
    <w:basedOn w:val="af"/>
    <w:link w:val="af0"/>
    <w:uiPriority w:val="99"/>
    <w:semiHidden/>
    <w:locked/>
    <w:rsid w:val="00D05B51"/>
    <w:rPr>
      <w:b/>
      <w:sz w:val="20"/>
    </w:rPr>
  </w:style>
  <w:style w:type="paragraph" w:styleId="af2">
    <w:name w:val="Body Text Indent"/>
    <w:basedOn w:val="a"/>
    <w:link w:val="af3"/>
    <w:uiPriority w:val="99"/>
    <w:rsid w:val="00B91B10"/>
    <w:pPr>
      <w:spacing w:after="120"/>
      <w:ind w:left="283"/>
    </w:pPr>
  </w:style>
  <w:style w:type="character" w:customStyle="1" w:styleId="af3">
    <w:name w:val="Основной текст с отступом Знак"/>
    <w:basedOn w:val="a0"/>
    <w:link w:val="af2"/>
    <w:uiPriority w:val="99"/>
    <w:semiHidden/>
    <w:locked/>
    <w:rsid w:val="00D05B51"/>
    <w:rPr>
      <w:sz w:val="20"/>
    </w:rPr>
  </w:style>
  <w:style w:type="character" w:customStyle="1" w:styleId="Subst0">
    <w:name w:val="Subst"/>
    <w:uiPriority w:val="99"/>
    <w:rsid w:val="0029337E"/>
    <w:rPr>
      <w:b/>
      <w:i/>
    </w:rPr>
  </w:style>
  <w:style w:type="paragraph" w:customStyle="1" w:styleId="CharChar3">
    <w:name w:val="Char Char3"/>
    <w:basedOn w:val="a"/>
    <w:uiPriority w:val="99"/>
    <w:rsid w:val="001B799C"/>
    <w:pPr>
      <w:tabs>
        <w:tab w:val="num" w:pos="360"/>
      </w:tabs>
      <w:autoSpaceDE/>
      <w:autoSpaceDN/>
      <w:spacing w:after="160" w:line="240" w:lineRule="exact"/>
    </w:pPr>
    <w:rPr>
      <w:rFonts w:ascii="Verdana" w:hAnsi="Verdana" w:cs="Verdana"/>
      <w:lang w:val="en-US" w:eastAsia="en-US"/>
    </w:rPr>
  </w:style>
  <w:style w:type="paragraph" w:styleId="af4">
    <w:name w:val="List Paragraph"/>
    <w:basedOn w:val="a"/>
    <w:uiPriority w:val="99"/>
    <w:qFormat/>
    <w:rsid w:val="004B6BDA"/>
    <w:pPr>
      <w:autoSpaceDE/>
      <w:autoSpaceDN/>
      <w:spacing w:after="200" w:line="276" w:lineRule="auto"/>
      <w:ind w:left="720"/>
    </w:pPr>
    <w:rPr>
      <w:rFonts w:ascii="Calibri" w:hAnsi="Calibri" w:cs="Calibri"/>
      <w:sz w:val="22"/>
      <w:szCs w:val="22"/>
    </w:rPr>
  </w:style>
  <w:style w:type="paragraph" w:styleId="af5">
    <w:name w:val="Plain Text"/>
    <w:basedOn w:val="a"/>
    <w:link w:val="af6"/>
    <w:uiPriority w:val="99"/>
    <w:rsid w:val="00EE5FA0"/>
    <w:pPr>
      <w:autoSpaceDE/>
      <w:autoSpaceDN/>
    </w:pPr>
    <w:rPr>
      <w:rFonts w:ascii="Consolas" w:hAnsi="Consolas"/>
      <w:sz w:val="21"/>
      <w:szCs w:val="21"/>
      <w:lang w:eastAsia="en-US"/>
    </w:rPr>
  </w:style>
  <w:style w:type="character" w:customStyle="1" w:styleId="af6">
    <w:name w:val="Текст Знак"/>
    <w:basedOn w:val="a0"/>
    <w:link w:val="af5"/>
    <w:uiPriority w:val="99"/>
    <w:locked/>
    <w:rsid w:val="00EE5FA0"/>
    <w:rPr>
      <w:rFonts w:ascii="Consolas" w:eastAsia="Times New Roman" w:hAnsi="Consolas"/>
      <w:sz w:val="21"/>
      <w:lang w:eastAsia="en-US"/>
    </w:rPr>
  </w:style>
  <w:style w:type="paragraph" w:customStyle="1" w:styleId="Default">
    <w:name w:val="Default"/>
    <w:rsid w:val="00EE5FA0"/>
    <w:pPr>
      <w:autoSpaceDE w:val="0"/>
      <w:autoSpaceDN w:val="0"/>
      <w:adjustRightInd w:val="0"/>
    </w:pPr>
    <w:rPr>
      <w:rFonts w:ascii="Calibri" w:hAnsi="Calibri" w:cs="Calibri"/>
      <w:color w:val="000000"/>
      <w:sz w:val="24"/>
      <w:szCs w:val="24"/>
      <w:lang w:eastAsia="en-US"/>
    </w:rPr>
  </w:style>
  <w:style w:type="paragraph" w:customStyle="1" w:styleId="1-21">
    <w:name w:val="Средняя сетка 1 - Акцент 21"/>
    <w:basedOn w:val="a"/>
    <w:uiPriority w:val="99"/>
    <w:rsid w:val="00436A26"/>
    <w:pPr>
      <w:autoSpaceDE/>
      <w:autoSpaceDN/>
      <w:ind w:left="720"/>
      <w:contextualSpacing/>
    </w:pPr>
    <w:rPr>
      <w:sz w:val="24"/>
      <w:szCs w:val="24"/>
    </w:rPr>
  </w:style>
  <w:style w:type="character" w:customStyle="1" w:styleId="ConsNonformat0">
    <w:name w:val="ConsNonformat Знак"/>
    <w:basedOn w:val="a0"/>
    <w:link w:val="ConsNonformat"/>
    <w:uiPriority w:val="99"/>
    <w:locked/>
    <w:rsid w:val="00C106A6"/>
    <w:rPr>
      <w:rFonts w:ascii="Courier New" w:hAnsi="Courier New" w:cs="Courier New"/>
      <w:lang w:val="ru-RU" w:eastAsia="ru-RU" w:bidi="ar-SA"/>
    </w:rPr>
  </w:style>
  <w:style w:type="paragraph" w:customStyle="1" w:styleId="ConsPlusNormal">
    <w:name w:val="ConsPlusNormal"/>
    <w:rsid w:val="00836FEC"/>
    <w:pPr>
      <w:widowControl w:val="0"/>
      <w:autoSpaceDE w:val="0"/>
      <w:autoSpaceDN w:val="0"/>
      <w:adjustRightInd w:val="0"/>
    </w:pPr>
    <w:rPr>
      <w:rFonts w:ascii="Arial" w:eastAsiaTheme="minorEastAsia"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F"/>
    <w:pPr>
      <w:autoSpaceDE w:val="0"/>
      <w:autoSpaceDN w:val="0"/>
    </w:pPr>
    <w:rPr>
      <w:sz w:val="20"/>
      <w:szCs w:val="20"/>
    </w:rPr>
  </w:style>
  <w:style w:type="paragraph" w:styleId="2">
    <w:name w:val="heading 2"/>
    <w:basedOn w:val="a"/>
    <w:next w:val="a"/>
    <w:link w:val="20"/>
    <w:uiPriority w:val="99"/>
    <w:qFormat/>
    <w:rsid w:val="00D05B51"/>
    <w:pPr>
      <w:keepNext/>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05B51"/>
    <w:rPr>
      <w:rFonts w:ascii="Cambria" w:hAnsi="Cambria"/>
      <w:b/>
      <w:i/>
      <w:sz w:val="28"/>
    </w:rPr>
  </w:style>
  <w:style w:type="paragraph" w:styleId="a3">
    <w:name w:val="Balloon Text"/>
    <w:basedOn w:val="a"/>
    <w:link w:val="a4"/>
    <w:uiPriority w:val="99"/>
    <w:semiHidden/>
    <w:rsid w:val="007E425F"/>
    <w:rPr>
      <w:rFonts w:ascii="Tahoma" w:hAnsi="Tahoma"/>
      <w:sz w:val="16"/>
      <w:szCs w:val="16"/>
    </w:rPr>
  </w:style>
  <w:style w:type="character" w:customStyle="1" w:styleId="a4">
    <w:name w:val="Текст выноски Знак"/>
    <w:basedOn w:val="a0"/>
    <w:link w:val="a3"/>
    <w:uiPriority w:val="99"/>
    <w:semiHidden/>
    <w:locked/>
    <w:rsid w:val="00D05B51"/>
    <w:rPr>
      <w:rFonts w:ascii="Tahoma" w:hAnsi="Tahoma"/>
      <w:sz w:val="16"/>
    </w:rPr>
  </w:style>
  <w:style w:type="paragraph" w:customStyle="1" w:styleId="ConsNormal">
    <w:name w:val="ConsNormal"/>
    <w:uiPriority w:val="99"/>
    <w:rsid w:val="00D05B51"/>
    <w:pPr>
      <w:autoSpaceDE w:val="0"/>
      <w:autoSpaceDN w:val="0"/>
      <w:ind w:right="19771" w:firstLine="539"/>
      <w:jc w:val="both"/>
    </w:pPr>
    <w:rPr>
      <w:rFonts w:ascii="Courier New" w:hAnsi="Courier New" w:cs="Courier New"/>
      <w:sz w:val="20"/>
      <w:szCs w:val="20"/>
      <w:lang w:val="en-US"/>
    </w:rPr>
  </w:style>
  <w:style w:type="paragraph" w:customStyle="1" w:styleId="ConsNonformat">
    <w:name w:val="ConsNonformat"/>
    <w:link w:val="ConsNonformat0"/>
    <w:uiPriority w:val="99"/>
    <w:rsid w:val="00D05B51"/>
    <w:pPr>
      <w:widowControl w:val="0"/>
      <w:autoSpaceDE w:val="0"/>
      <w:autoSpaceDN w:val="0"/>
      <w:jc w:val="both"/>
    </w:pPr>
    <w:rPr>
      <w:rFonts w:ascii="Courier New" w:hAnsi="Courier New" w:cs="Courier New"/>
      <w:sz w:val="20"/>
      <w:szCs w:val="20"/>
    </w:rPr>
  </w:style>
  <w:style w:type="paragraph" w:styleId="a5">
    <w:name w:val="header"/>
    <w:basedOn w:val="a"/>
    <w:link w:val="a6"/>
    <w:uiPriority w:val="99"/>
    <w:rsid w:val="00D05B51"/>
    <w:pPr>
      <w:tabs>
        <w:tab w:val="center" w:pos="4153"/>
        <w:tab w:val="right" w:pos="8306"/>
      </w:tabs>
    </w:pPr>
  </w:style>
  <w:style w:type="character" w:customStyle="1" w:styleId="a6">
    <w:name w:val="Верхний колонтитул Знак"/>
    <w:basedOn w:val="a0"/>
    <w:link w:val="a5"/>
    <w:uiPriority w:val="99"/>
    <w:locked/>
    <w:rsid w:val="00D05B51"/>
    <w:rPr>
      <w:sz w:val="20"/>
    </w:rPr>
  </w:style>
  <w:style w:type="paragraph" w:styleId="a7">
    <w:name w:val="footer"/>
    <w:basedOn w:val="a"/>
    <w:link w:val="a8"/>
    <w:uiPriority w:val="99"/>
    <w:rsid w:val="00D05B51"/>
    <w:pPr>
      <w:tabs>
        <w:tab w:val="center" w:pos="4153"/>
        <w:tab w:val="right" w:pos="8306"/>
      </w:tabs>
    </w:pPr>
  </w:style>
  <w:style w:type="character" w:customStyle="1" w:styleId="a8">
    <w:name w:val="Нижний колонтитул Знак"/>
    <w:basedOn w:val="a0"/>
    <w:link w:val="a7"/>
    <w:uiPriority w:val="99"/>
    <w:locked/>
    <w:rsid w:val="00D05B51"/>
    <w:rPr>
      <w:sz w:val="20"/>
    </w:rPr>
  </w:style>
  <w:style w:type="character" w:customStyle="1" w:styleId="SUBST">
    <w:name w:val="__SUBST"/>
    <w:rsid w:val="00D05B51"/>
    <w:rPr>
      <w:b/>
      <w:i/>
      <w:sz w:val="22"/>
    </w:rPr>
  </w:style>
  <w:style w:type="paragraph" w:styleId="21">
    <w:name w:val="Body Text 2"/>
    <w:basedOn w:val="a"/>
    <w:link w:val="22"/>
    <w:uiPriority w:val="99"/>
    <w:rsid w:val="00D05B51"/>
    <w:pPr>
      <w:widowControl w:val="0"/>
      <w:spacing w:before="40"/>
      <w:ind w:left="200"/>
    </w:pPr>
  </w:style>
  <w:style w:type="character" w:customStyle="1" w:styleId="22">
    <w:name w:val="Основной текст 2 Знак"/>
    <w:basedOn w:val="a0"/>
    <w:link w:val="21"/>
    <w:uiPriority w:val="99"/>
    <w:semiHidden/>
    <w:locked/>
    <w:rsid w:val="00D05B51"/>
    <w:rPr>
      <w:sz w:val="20"/>
    </w:rPr>
  </w:style>
  <w:style w:type="paragraph" w:styleId="23">
    <w:name w:val="Body Text Indent 2"/>
    <w:basedOn w:val="a"/>
    <w:link w:val="24"/>
    <w:uiPriority w:val="99"/>
    <w:rsid w:val="00D05B51"/>
    <w:pPr>
      <w:ind w:left="1230" w:hanging="690"/>
    </w:pPr>
  </w:style>
  <w:style w:type="character" w:customStyle="1" w:styleId="24">
    <w:name w:val="Основной текст с отступом 2 Знак"/>
    <w:basedOn w:val="a0"/>
    <w:link w:val="23"/>
    <w:uiPriority w:val="99"/>
    <w:semiHidden/>
    <w:locked/>
    <w:rsid w:val="00D05B51"/>
    <w:rPr>
      <w:sz w:val="20"/>
    </w:rPr>
  </w:style>
  <w:style w:type="character" w:styleId="a9">
    <w:name w:val="Hyperlink"/>
    <w:basedOn w:val="a0"/>
    <w:uiPriority w:val="99"/>
    <w:rsid w:val="00820148"/>
    <w:rPr>
      <w:rFonts w:cs="Times New Roman"/>
      <w:color w:val="0000FF"/>
      <w:u w:val="single"/>
    </w:rPr>
  </w:style>
  <w:style w:type="paragraph" w:customStyle="1" w:styleId="CharChar">
    <w:name w:val="Char Char"/>
    <w:basedOn w:val="a"/>
    <w:uiPriority w:val="99"/>
    <w:rsid w:val="00820148"/>
    <w:pPr>
      <w:widowControl w:val="0"/>
      <w:tabs>
        <w:tab w:val="num" w:pos="435"/>
      </w:tabs>
      <w:autoSpaceDE/>
      <w:autoSpaceDN/>
      <w:adjustRightInd w:val="0"/>
      <w:spacing w:after="160" w:line="240" w:lineRule="exact"/>
      <w:ind w:left="435" w:hanging="435"/>
      <w:jc w:val="center"/>
    </w:pPr>
    <w:rPr>
      <w:b/>
      <w:bCs/>
      <w:i/>
      <w:iCs/>
      <w:sz w:val="28"/>
      <w:szCs w:val="28"/>
      <w:lang w:val="en-GB" w:eastAsia="en-US"/>
    </w:rPr>
  </w:style>
  <w:style w:type="paragraph" w:customStyle="1" w:styleId="CharChar0">
    <w:name w:val="Знак Знак Char Char"/>
    <w:basedOn w:val="a"/>
    <w:uiPriority w:val="99"/>
    <w:rsid w:val="0022150E"/>
    <w:pPr>
      <w:tabs>
        <w:tab w:val="num" w:pos="360"/>
      </w:tabs>
      <w:autoSpaceDE/>
      <w:autoSpaceDN/>
      <w:spacing w:after="160" w:line="240" w:lineRule="exact"/>
    </w:pPr>
    <w:rPr>
      <w:noProof/>
      <w:sz w:val="24"/>
      <w:szCs w:val="24"/>
      <w:lang w:val="en-US"/>
    </w:rPr>
  </w:style>
  <w:style w:type="paragraph" w:customStyle="1" w:styleId="CharChar1">
    <w:name w:val="Знак Знак Знак Char Char1"/>
    <w:basedOn w:val="a"/>
    <w:uiPriority w:val="99"/>
    <w:rsid w:val="000D5553"/>
    <w:pPr>
      <w:tabs>
        <w:tab w:val="left" w:pos="540"/>
        <w:tab w:val="left" w:pos="1260"/>
        <w:tab w:val="left" w:pos="1800"/>
      </w:tabs>
      <w:autoSpaceDE/>
      <w:autoSpaceDN/>
      <w:spacing w:before="240" w:after="160" w:line="240" w:lineRule="exact"/>
    </w:pPr>
    <w:rPr>
      <w:rFonts w:ascii="Verdana" w:hAnsi="Verdana" w:cs="Verdana"/>
      <w:sz w:val="24"/>
      <w:szCs w:val="24"/>
      <w:lang w:val="en-US" w:eastAsia="en-US"/>
    </w:rPr>
  </w:style>
  <w:style w:type="paragraph" w:styleId="aa">
    <w:name w:val="Body Text"/>
    <w:basedOn w:val="a"/>
    <w:link w:val="ab"/>
    <w:uiPriority w:val="99"/>
    <w:rsid w:val="000D5553"/>
    <w:pPr>
      <w:autoSpaceDE/>
      <w:autoSpaceDN/>
      <w:spacing w:after="120"/>
    </w:pPr>
  </w:style>
  <w:style w:type="character" w:customStyle="1" w:styleId="ab">
    <w:name w:val="Основной текст Знак"/>
    <w:basedOn w:val="a0"/>
    <w:link w:val="aa"/>
    <w:uiPriority w:val="99"/>
    <w:semiHidden/>
    <w:locked/>
    <w:rsid w:val="00D05B51"/>
    <w:rPr>
      <w:sz w:val="20"/>
    </w:rPr>
  </w:style>
  <w:style w:type="paragraph" w:customStyle="1" w:styleId="CharChar2">
    <w:name w:val="Знак Знак Знак Char Char"/>
    <w:basedOn w:val="a"/>
    <w:uiPriority w:val="99"/>
    <w:rsid w:val="000D5553"/>
    <w:pPr>
      <w:tabs>
        <w:tab w:val="left" w:pos="540"/>
        <w:tab w:val="left" w:pos="1260"/>
        <w:tab w:val="left" w:pos="1800"/>
      </w:tabs>
      <w:autoSpaceDE/>
      <w:autoSpaceDN/>
      <w:spacing w:before="240" w:after="160" w:line="240" w:lineRule="exact"/>
    </w:pPr>
    <w:rPr>
      <w:rFonts w:ascii="Verdana" w:hAnsi="Verdana" w:cs="Verdana"/>
      <w:sz w:val="24"/>
      <w:szCs w:val="24"/>
      <w:lang w:val="en-US" w:eastAsia="en-US"/>
    </w:rPr>
  </w:style>
  <w:style w:type="character" w:styleId="ac">
    <w:name w:val="Strong"/>
    <w:basedOn w:val="a0"/>
    <w:uiPriority w:val="99"/>
    <w:qFormat/>
    <w:rsid w:val="009B6F25"/>
    <w:rPr>
      <w:rFonts w:cs="Times New Roman"/>
      <w:b/>
      <w:spacing w:val="0"/>
    </w:rPr>
  </w:style>
  <w:style w:type="character" w:styleId="ad">
    <w:name w:val="annotation reference"/>
    <w:basedOn w:val="a0"/>
    <w:uiPriority w:val="99"/>
    <w:semiHidden/>
    <w:rsid w:val="007800B7"/>
    <w:rPr>
      <w:rFonts w:cs="Times New Roman"/>
      <w:sz w:val="16"/>
    </w:rPr>
  </w:style>
  <w:style w:type="paragraph" w:styleId="ae">
    <w:name w:val="annotation text"/>
    <w:basedOn w:val="a"/>
    <w:link w:val="af"/>
    <w:uiPriority w:val="99"/>
    <w:semiHidden/>
    <w:rsid w:val="007800B7"/>
  </w:style>
  <w:style w:type="character" w:customStyle="1" w:styleId="CommentTextChar">
    <w:name w:val="Comment Text Char"/>
    <w:basedOn w:val="a0"/>
    <w:uiPriority w:val="99"/>
    <w:locked/>
    <w:rsid w:val="00293102"/>
    <w:rPr>
      <w:rFonts w:ascii="Calibri" w:hAnsi="Calibri" w:cs="Times New Roman"/>
      <w:sz w:val="20"/>
      <w:szCs w:val="20"/>
      <w:lang w:eastAsia="ru-RU"/>
    </w:rPr>
  </w:style>
  <w:style w:type="character" w:customStyle="1" w:styleId="af">
    <w:name w:val="Текст примечания Знак"/>
    <w:link w:val="ae"/>
    <w:uiPriority w:val="99"/>
    <w:semiHidden/>
    <w:locked/>
    <w:rsid w:val="00D05B51"/>
    <w:rPr>
      <w:sz w:val="20"/>
    </w:rPr>
  </w:style>
  <w:style w:type="paragraph" w:styleId="af0">
    <w:name w:val="annotation subject"/>
    <w:basedOn w:val="ae"/>
    <w:next w:val="ae"/>
    <w:link w:val="af1"/>
    <w:uiPriority w:val="99"/>
    <w:semiHidden/>
    <w:rsid w:val="007800B7"/>
    <w:rPr>
      <w:b/>
      <w:bCs/>
    </w:rPr>
  </w:style>
  <w:style w:type="character" w:customStyle="1" w:styleId="af1">
    <w:name w:val="Тема примечания Знак"/>
    <w:basedOn w:val="af"/>
    <w:link w:val="af0"/>
    <w:uiPriority w:val="99"/>
    <w:semiHidden/>
    <w:locked/>
    <w:rsid w:val="00D05B51"/>
    <w:rPr>
      <w:b/>
      <w:sz w:val="20"/>
    </w:rPr>
  </w:style>
  <w:style w:type="paragraph" w:styleId="af2">
    <w:name w:val="Body Text Indent"/>
    <w:basedOn w:val="a"/>
    <w:link w:val="af3"/>
    <w:uiPriority w:val="99"/>
    <w:rsid w:val="00B91B10"/>
    <w:pPr>
      <w:spacing w:after="120"/>
      <w:ind w:left="283"/>
    </w:pPr>
  </w:style>
  <w:style w:type="character" w:customStyle="1" w:styleId="af3">
    <w:name w:val="Основной текст с отступом Знак"/>
    <w:basedOn w:val="a0"/>
    <w:link w:val="af2"/>
    <w:uiPriority w:val="99"/>
    <w:semiHidden/>
    <w:locked/>
    <w:rsid w:val="00D05B51"/>
    <w:rPr>
      <w:sz w:val="20"/>
    </w:rPr>
  </w:style>
  <w:style w:type="character" w:customStyle="1" w:styleId="Subst0">
    <w:name w:val="Subst"/>
    <w:uiPriority w:val="99"/>
    <w:rsid w:val="0029337E"/>
    <w:rPr>
      <w:b/>
      <w:i/>
    </w:rPr>
  </w:style>
  <w:style w:type="paragraph" w:customStyle="1" w:styleId="CharChar3">
    <w:name w:val="Char Char3"/>
    <w:basedOn w:val="a"/>
    <w:uiPriority w:val="99"/>
    <w:rsid w:val="001B799C"/>
    <w:pPr>
      <w:tabs>
        <w:tab w:val="num" w:pos="360"/>
      </w:tabs>
      <w:autoSpaceDE/>
      <w:autoSpaceDN/>
      <w:spacing w:after="160" w:line="240" w:lineRule="exact"/>
    </w:pPr>
    <w:rPr>
      <w:rFonts w:ascii="Verdana" w:hAnsi="Verdana" w:cs="Verdana"/>
      <w:lang w:val="en-US" w:eastAsia="en-US"/>
    </w:rPr>
  </w:style>
  <w:style w:type="paragraph" w:styleId="af4">
    <w:name w:val="List Paragraph"/>
    <w:basedOn w:val="a"/>
    <w:uiPriority w:val="99"/>
    <w:qFormat/>
    <w:rsid w:val="004B6BDA"/>
    <w:pPr>
      <w:autoSpaceDE/>
      <w:autoSpaceDN/>
      <w:spacing w:after="200" w:line="276" w:lineRule="auto"/>
      <w:ind w:left="720"/>
    </w:pPr>
    <w:rPr>
      <w:rFonts w:ascii="Calibri" w:hAnsi="Calibri" w:cs="Calibri"/>
      <w:sz w:val="22"/>
      <w:szCs w:val="22"/>
    </w:rPr>
  </w:style>
  <w:style w:type="paragraph" w:styleId="af5">
    <w:name w:val="Plain Text"/>
    <w:basedOn w:val="a"/>
    <w:link w:val="af6"/>
    <w:uiPriority w:val="99"/>
    <w:rsid w:val="00EE5FA0"/>
    <w:pPr>
      <w:autoSpaceDE/>
      <w:autoSpaceDN/>
    </w:pPr>
    <w:rPr>
      <w:rFonts w:ascii="Consolas" w:hAnsi="Consolas"/>
      <w:sz w:val="21"/>
      <w:szCs w:val="21"/>
      <w:lang w:eastAsia="en-US"/>
    </w:rPr>
  </w:style>
  <w:style w:type="character" w:customStyle="1" w:styleId="af6">
    <w:name w:val="Текст Знак"/>
    <w:basedOn w:val="a0"/>
    <w:link w:val="af5"/>
    <w:uiPriority w:val="99"/>
    <w:locked/>
    <w:rsid w:val="00EE5FA0"/>
    <w:rPr>
      <w:rFonts w:ascii="Consolas" w:eastAsia="Times New Roman" w:hAnsi="Consolas"/>
      <w:sz w:val="21"/>
      <w:lang w:eastAsia="en-US"/>
    </w:rPr>
  </w:style>
  <w:style w:type="paragraph" w:customStyle="1" w:styleId="Default">
    <w:name w:val="Default"/>
    <w:rsid w:val="00EE5FA0"/>
    <w:pPr>
      <w:autoSpaceDE w:val="0"/>
      <w:autoSpaceDN w:val="0"/>
      <w:adjustRightInd w:val="0"/>
    </w:pPr>
    <w:rPr>
      <w:rFonts w:ascii="Calibri" w:hAnsi="Calibri" w:cs="Calibri"/>
      <w:color w:val="000000"/>
      <w:sz w:val="24"/>
      <w:szCs w:val="24"/>
      <w:lang w:eastAsia="en-US"/>
    </w:rPr>
  </w:style>
  <w:style w:type="paragraph" w:customStyle="1" w:styleId="1-21">
    <w:name w:val="Средняя сетка 1 - Акцент 21"/>
    <w:basedOn w:val="a"/>
    <w:uiPriority w:val="99"/>
    <w:rsid w:val="00436A26"/>
    <w:pPr>
      <w:autoSpaceDE/>
      <w:autoSpaceDN/>
      <w:ind w:left="720"/>
      <w:contextualSpacing/>
    </w:pPr>
    <w:rPr>
      <w:sz w:val="24"/>
      <w:szCs w:val="24"/>
    </w:rPr>
  </w:style>
  <w:style w:type="character" w:customStyle="1" w:styleId="ConsNonformat0">
    <w:name w:val="ConsNonformat Знак"/>
    <w:basedOn w:val="a0"/>
    <w:link w:val="ConsNonformat"/>
    <w:uiPriority w:val="99"/>
    <w:locked/>
    <w:rsid w:val="00C106A6"/>
    <w:rPr>
      <w:rFonts w:ascii="Courier New" w:hAnsi="Courier New" w:cs="Courier New"/>
      <w:lang w:val="ru-RU" w:eastAsia="ru-RU" w:bidi="ar-SA"/>
    </w:rPr>
  </w:style>
  <w:style w:type="paragraph" w:customStyle="1" w:styleId="ConsPlusNormal">
    <w:name w:val="ConsPlusNormal"/>
    <w:rsid w:val="00836FEC"/>
    <w:pPr>
      <w:widowControl w:val="0"/>
      <w:autoSpaceDE w:val="0"/>
      <w:autoSpaceDN w:val="0"/>
      <w:adjustRightInd w:val="0"/>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147148">
      <w:marLeft w:val="0"/>
      <w:marRight w:val="0"/>
      <w:marTop w:val="0"/>
      <w:marBottom w:val="0"/>
      <w:divBdr>
        <w:top w:val="none" w:sz="0" w:space="0" w:color="auto"/>
        <w:left w:val="none" w:sz="0" w:space="0" w:color="auto"/>
        <w:bottom w:val="none" w:sz="0" w:space="0" w:color="auto"/>
        <w:right w:val="none" w:sz="0" w:space="0" w:color="auto"/>
      </w:divBdr>
    </w:div>
    <w:div w:id="1515147149">
      <w:marLeft w:val="0"/>
      <w:marRight w:val="0"/>
      <w:marTop w:val="0"/>
      <w:marBottom w:val="0"/>
      <w:divBdr>
        <w:top w:val="none" w:sz="0" w:space="0" w:color="auto"/>
        <w:left w:val="none" w:sz="0" w:space="0" w:color="auto"/>
        <w:bottom w:val="none" w:sz="0" w:space="0" w:color="auto"/>
        <w:right w:val="none" w:sz="0" w:space="0" w:color="auto"/>
      </w:divBdr>
    </w:div>
    <w:div w:id="1515147150">
      <w:marLeft w:val="0"/>
      <w:marRight w:val="0"/>
      <w:marTop w:val="0"/>
      <w:marBottom w:val="0"/>
      <w:divBdr>
        <w:top w:val="none" w:sz="0" w:space="0" w:color="auto"/>
        <w:left w:val="none" w:sz="0" w:space="0" w:color="auto"/>
        <w:bottom w:val="none" w:sz="0" w:space="0" w:color="auto"/>
        <w:right w:val="none" w:sz="0" w:space="0" w:color="auto"/>
      </w:divBdr>
    </w:div>
    <w:div w:id="1515147151">
      <w:marLeft w:val="0"/>
      <w:marRight w:val="0"/>
      <w:marTop w:val="0"/>
      <w:marBottom w:val="0"/>
      <w:divBdr>
        <w:top w:val="none" w:sz="0" w:space="0" w:color="auto"/>
        <w:left w:val="none" w:sz="0" w:space="0" w:color="auto"/>
        <w:bottom w:val="none" w:sz="0" w:space="0" w:color="auto"/>
        <w:right w:val="none" w:sz="0" w:space="0" w:color="auto"/>
      </w:divBdr>
    </w:div>
    <w:div w:id="1515147152">
      <w:marLeft w:val="0"/>
      <w:marRight w:val="0"/>
      <w:marTop w:val="0"/>
      <w:marBottom w:val="0"/>
      <w:divBdr>
        <w:top w:val="none" w:sz="0" w:space="0" w:color="auto"/>
        <w:left w:val="none" w:sz="0" w:space="0" w:color="auto"/>
        <w:bottom w:val="none" w:sz="0" w:space="0" w:color="auto"/>
        <w:right w:val="none" w:sz="0" w:space="0" w:color="auto"/>
      </w:divBdr>
    </w:div>
    <w:div w:id="1515147153">
      <w:marLeft w:val="0"/>
      <w:marRight w:val="0"/>
      <w:marTop w:val="0"/>
      <w:marBottom w:val="0"/>
      <w:divBdr>
        <w:top w:val="none" w:sz="0" w:space="0" w:color="auto"/>
        <w:left w:val="none" w:sz="0" w:space="0" w:color="auto"/>
        <w:bottom w:val="none" w:sz="0" w:space="0" w:color="auto"/>
        <w:right w:val="none" w:sz="0" w:space="0" w:color="auto"/>
      </w:divBdr>
    </w:div>
    <w:div w:id="1515147154">
      <w:marLeft w:val="0"/>
      <w:marRight w:val="0"/>
      <w:marTop w:val="0"/>
      <w:marBottom w:val="0"/>
      <w:divBdr>
        <w:top w:val="none" w:sz="0" w:space="0" w:color="auto"/>
        <w:left w:val="none" w:sz="0" w:space="0" w:color="auto"/>
        <w:bottom w:val="none" w:sz="0" w:space="0" w:color="auto"/>
        <w:right w:val="none" w:sz="0" w:space="0" w:color="auto"/>
      </w:divBdr>
    </w:div>
    <w:div w:id="1515147155">
      <w:marLeft w:val="0"/>
      <w:marRight w:val="0"/>
      <w:marTop w:val="0"/>
      <w:marBottom w:val="0"/>
      <w:divBdr>
        <w:top w:val="none" w:sz="0" w:space="0" w:color="auto"/>
        <w:left w:val="none" w:sz="0" w:space="0" w:color="auto"/>
        <w:bottom w:val="none" w:sz="0" w:space="0" w:color="auto"/>
        <w:right w:val="none" w:sz="0" w:space="0" w:color="auto"/>
      </w:divBdr>
    </w:div>
    <w:div w:id="1515147156">
      <w:marLeft w:val="0"/>
      <w:marRight w:val="0"/>
      <w:marTop w:val="0"/>
      <w:marBottom w:val="0"/>
      <w:divBdr>
        <w:top w:val="none" w:sz="0" w:space="0" w:color="auto"/>
        <w:left w:val="none" w:sz="0" w:space="0" w:color="auto"/>
        <w:bottom w:val="none" w:sz="0" w:space="0" w:color="auto"/>
        <w:right w:val="none" w:sz="0" w:space="0" w:color="auto"/>
      </w:divBdr>
    </w:div>
    <w:div w:id="1515147157">
      <w:marLeft w:val="0"/>
      <w:marRight w:val="0"/>
      <w:marTop w:val="0"/>
      <w:marBottom w:val="0"/>
      <w:divBdr>
        <w:top w:val="none" w:sz="0" w:space="0" w:color="auto"/>
        <w:left w:val="none" w:sz="0" w:space="0" w:color="auto"/>
        <w:bottom w:val="none" w:sz="0" w:space="0" w:color="auto"/>
        <w:right w:val="none" w:sz="0" w:space="0" w:color="auto"/>
      </w:divBdr>
    </w:div>
    <w:div w:id="1515147158">
      <w:marLeft w:val="0"/>
      <w:marRight w:val="0"/>
      <w:marTop w:val="0"/>
      <w:marBottom w:val="0"/>
      <w:divBdr>
        <w:top w:val="none" w:sz="0" w:space="0" w:color="auto"/>
        <w:left w:val="none" w:sz="0" w:space="0" w:color="auto"/>
        <w:bottom w:val="none" w:sz="0" w:space="0" w:color="auto"/>
        <w:right w:val="none" w:sz="0" w:space="0" w:color="auto"/>
      </w:divBdr>
    </w:div>
    <w:div w:id="1515147159">
      <w:marLeft w:val="0"/>
      <w:marRight w:val="0"/>
      <w:marTop w:val="0"/>
      <w:marBottom w:val="0"/>
      <w:divBdr>
        <w:top w:val="none" w:sz="0" w:space="0" w:color="auto"/>
        <w:left w:val="none" w:sz="0" w:space="0" w:color="auto"/>
        <w:bottom w:val="none" w:sz="0" w:space="0" w:color="auto"/>
        <w:right w:val="none" w:sz="0" w:space="0" w:color="auto"/>
      </w:divBdr>
    </w:div>
    <w:div w:id="1515147160">
      <w:marLeft w:val="0"/>
      <w:marRight w:val="0"/>
      <w:marTop w:val="0"/>
      <w:marBottom w:val="0"/>
      <w:divBdr>
        <w:top w:val="none" w:sz="0" w:space="0" w:color="auto"/>
        <w:left w:val="none" w:sz="0" w:space="0" w:color="auto"/>
        <w:bottom w:val="none" w:sz="0" w:space="0" w:color="auto"/>
        <w:right w:val="none" w:sz="0" w:space="0" w:color="auto"/>
      </w:divBdr>
    </w:div>
    <w:div w:id="1515147161">
      <w:marLeft w:val="0"/>
      <w:marRight w:val="0"/>
      <w:marTop w:val="0"/>
      <w:marBottom w:val="0"/>
      <w:divBdr>
        <w:top w:val="none" w:sz="0" w:space="0" w:color="auto"/>
        <w:left w:val="none" w:sz="0" w:space="0" w:color="auto"/>
        <w:bottom w:val="none" w:sz="0" w:space="0" w:color="auto"/>
        <w:right w:val="none" w:sz="0" w:space="0" w:color="auto"/>
      </w:divBdr>
    </w:div>
    <w:div w:id="1515147162">
      <w:marLeft w:val="0"/>
      <w:marRight w:val="0"/>
      <w:marTop w:val="0"/>
      <w:marBottom w:val="0"/>
      <w:divBdr>
        <w:top w:val="none" w:sz="0" w:space="0" w:color="auto"/>
        <w:left w:val="none" w:sz="0" w:space="0" w:color="auto"/>
        <w:bottom w:val="none" w:sz="0" w:space="0" w:color="auto"/>
        <w:right w:val="none" w:sz="0" w:space="0" w:color="auto"/>
      </w:divBdr>
    </w:div>
    <w:div w:id="1515147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F4B1-5E43-49DB-9B95-B9084FB6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6061</Characters>
  <Application>Microsoft Office Word</Application>
  <DocSecurity>0</DocSecurity>
  <Lines>50</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19</vt:lpstr>
      <vt:lpstr>Приложение 19</vt:lpstr>
    </vt:vector>
  </TitlesOfParts>
  <Company>CALLISTO</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Юшков Максим</cp:lastModifiedBy>
  <cp:revision>3</cp:revision>
  <cp:lastPrinted>2015-03-04T06:22:00Z</cp:lastPrinted>
  <dcterms:created xsi:type="dcterms:W3CDTF">2016-03-03T15:23:00Z</dcterms:created>
  <dcterms:modified xsi:type="dcterms:W3CDTF">2016-03-03T15:30:00Z</dcterms:modified>
</cp:coreProperties>
</file>