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aspx</w:t>
            </w:r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7A28AF" w:rsidRPr="007A28AF" w:rsidRDefault="00323397" w:rsidP="007A28AF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323397">
              <w:rPr>
                <w:b/>
              </w:rPr>
              <w:t xml:space="preserve"> </w:t>
            </w:r>
            <w:r w:rsidR="007A28AF" w:rsidRPr="007A28AF">
              <w:rPr>
                <w:b/>
              </w:rPr>
              <w:t xml:space="preserve">Одобрить на основании п. 3 статьи 46 Закона об ООО заключение генерального соглашения об открытии возобновляемой рамочной кредитной линии с дифференцированными процентными ставками № 0162-1-111716-РКЛ (далее – «Соглашение») между Обществом (далее – «Заемщик») и ПАО Сбербанк созданным в соответствии с законодательством Российской Федерации, ОГРН 1027700132195, место нахождения: 117997, г. Москва, ул. Вавилова, д. 19, (далее - </w:t>
            </w:r>
            <w:bookmarkStart w:id="1" w:name="_GoBack"/>
            <w:bookmarkEnd w:id="1"/>
            <w:r w:rsidR="007A28AF" w:rsidRPr="007A28AF">
              <w:rPr>
                <w:b/>
              </w:rPr>
              <w:t>«Кредитор»), приложенное к настоящему Решению в качестве Приложения № 1, которое совместно с: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•</w:t>
            </w:r>
            <w:r w:rsidRPr="007A28AF">
              <w:rPr>
                <w:b/>
              </w:rPr>
              <w:tab/>
              <w:t>Генеральным соглашением об открытии возобновляемой рамочной кредитной линии с дифференцированными процентными ставками № 0162-100714-РКЛ от «23» декабря 2014 г.;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•</w:t>
            </w:r>
            <w:r w:rsidRPr="007A28AF">
              <w:rPr>
                <w:b/>
              </w:rPr>
              <w:tab/>
              <w:t>Договором № 0162-1-101614 об открытии невозобновляемой кредитной линии от «30» апреля 2014 года;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•</w:t>
            </w:r>
            <w:r w:rsidRPr="007A28AF">
              <w:rPr>
                <w:b/>
              </w:rPr>
              <w:tab/>
              <w:t>Договором № 0162-1-111116 об открытии невозобновляемой кредитной линии от «03» ноября 2016 г.,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заключенными между Кредитором и Заемщиком, составляет крупную сделку (совокупность взаимосвязанных сделок) на следующих условиях: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(i)</w:t>
            </w:r>
            <w:r w:rsidRPr="007A28AF">
              <w:rPr>
                <w:b/>
              </w:rPr>
              <w:tab/>
              <w:t>Предмет сделки – Кредитор открывает Заемщику возобновляемую рамочную кредитную линию с дифференцированными процентными ставками;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(</w:t>
            </w:r>
            <w:proofErr w:type="spellStart"/>
            <w:r w:rsidRPr="007A28AF">
              <w:rPr>
                <w:b/>
              </w:rPr>
              <w:t>ii</w:t>
            </w:r>
            <w:proofErr w:type="spellEnd"/>
            <w:r w:rsidRPr="007A28AF">
              <w:rPr>
                <w:b/>
              </w:rPr>
              <w:t>)</w:t>
            </w:r>
            <w:r w:rsidRPr="007A28AF">
              <w:rPr>
                <w:b/>
              </w:rPr>
              <w:tab/>
              <w:t>Лимит кредитной линии –15 000 000 000 (Пятнадцать миллиардов рублей) 00 копеек, при этом Совокупная величина задолженности по Соглашению и Генеральному соглашению № 0162-100714-РКЛ об открытии возобновляемой рамочной кредитной линии с дифференцированными процентными ставками от «23» декабря 2014 г. не может превышать в любой момент времени суммы 15 000 000 000 (Пятнадцать миллиардов) рублей 00 копеек;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(</w:t>
            </w:r>
            <w:proofErr w:type="spellStart"/>
            <w:r w:rsidRPr="007A28AF">
              <w:rPr>
                <w:b/>
              </w:rPr>
              <w:t>iii</w:t>
            </w:r>
            <w:proofErr w:type="spellEnd"/>
            <w:r w:rsidRPr="007A28AF">
              <w:rPr>
                <w:b/>
              </w:rPr>
              <w:t>)</w:t>
            </w:r>
            <w:r w:rsidRPr="007A28AF">
              <w:rPr>
                <w:b/>
              </w:rPr>
              <w:tab/>
              <w:t>Срок кредитования – даты полного погашения кредитов по заключаемым в рамках Соглашения Кредитным сделкам устанавливаются не позднее «17» ноября 2019г.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(</w:t>
            </w:r>
            <w:proofErr w:type="spellStart"/>
            <w:r w:rsidRPr="007A28AF">
              <w:rPr>
                <w:b/>
              </w:rPr>
              <w:t>iv</w:t>
            </w:r>
            <w:proofErr w:type="spellEnd"/>
            <w:r w:rsidRPr="007A28AF">
              <w:rPr>
                <w:b/>
              </w:rPr>
              <w:t>)</w:t>
            </w:r>
            <w:r w:rsidRPr="007A28AF">
              <w:rPr>
                <w:b/>
              </w:rPr>
              <w:tab/>
              <w:t>Цели финансирования – финансирование текущей деятельности и инвестиционной программы Заемщика, включая полное либо частичное рефинансирование кредитов других банков и погашение займов, предоставленных третьими лицами, оплату строительно-монтажных работ и прочих расходов, осуществляемых в рамках обычной хозяйственной деятельности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(v)</w:t>
            </w:r>
            <w:r w:rsidRPr="007A28AF">
              <w:rPr>
                <w:b/>
              </w:rPr>
              <w:tab/>
              <w:t>Срок доступности кредитных средств – с «18» ноября 2016г. по «17» ноября 2019г.;</w:t>
            </w:r>
          </w:p>
          <w:p w:rsidR="007A28AF" w:rsidRPr="007A28AF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(</w:t>
            </w:r>
            <w:proofErr w:type="spellStart"/>
            <w:r w:rsidRPr="007A28AF">
              <w:rPr>
                <w:b/>
              </w:rPr>
              <w:t>vi</w:t>
            </w:r>
            <w:proofErr w:type="spellEnd"/>
            <w:r w:rsidRPr="007A28AF">
              <w:rPr>
                <w:b/>
              </w:rPr>
              <w:t>)</w:t>
            </w:r>
            <w:r w:rsidRPr="007A28AF">
              <w:rPr>
                <w:b/>
              </w:rPr>
              <w:tab/>
              <w:t xml:space="preserve">Погашение кредита – погашение кредита по отдельной Кредитной сделке производится в срок, указанный в соответствующих Подтверждениях. </w:t>
            </w:r>
          </w:p>
          <w:p w:rsidR="00323397" w:rsidRPr="00323397" w:rsidRDefault="007A28AF" w:rsidP="007A28AF">
            <w:pPr>
              <w:jc w:val="both"/>
              <w:rPr>
                <w:b/>
              </w:rPr>
            </w:pPr>
            <w:r w:rsidRPr="007A28AF">
              <w:rPr>
                <w:b/>
              </w:rPr>
              <w:t>(</w:t>
            </w:r>
            <w:proofErr w:type="spellStart"/>
            <w:r w:rsidRPr="007A28AF">
              <w:rPr>
                <w:b/>
              </w:rPr>
              <w:t>vii</w:t>
            </w:r>
            <w:proofErr w:type="spellEnd"/>
            <w:r w:rsidRPr="007A28AF">
              <w:rPr>
                <w:b/>
              </w:rPr>
              <w:t>)</w:t>
            </w:r>
            <w:r w:rsidRPr="007A28AF">
              <w:rPr>
                <w:b/>
              </w:rPr>
              <w:tab/>
              <w:t>Процентная ставка: процентная ставка за пользование кредитом, которая может быть установлена Сторонами при заключении Кредитной сделки, не может превышать 36 (Тридцать шесть) процентов годовых (Максимальную процентную ставку).</w:t>
            </w:r>
          </w:p>
          <w:p w:rsidR="00323397" w:rsidRPr="00323397" w:rsidRDefault="00323397" w:rsidP="00323397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Pr="00323397">
              <w:rPr>
                <w:b/>
              </w:rPr>
              <w:t xml:space="preserve"> </w:t>
            </w:r>
            <w:r w:rsidR="007A28AF" w:rsidRPr="007A28AF">
              <w:rPr>
                <w:b/>
              </w:rPr>
              <w:t>Генеральный директор, Управляющий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323397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</w:t>
            </w:r>
            <w:r w:rsidRPr="00074968">
              <w:lastRenderedPageBreak/>
              <w:t xml:space="preserve">акции) эмитента: </w:t>
            </w:r>
            <w:r w:rsidR="00323397" w:rsidRPr="00323397">
              <w:rPr>
                <w:b/>
              </w:rPr>
              <w:t>1</w:t>
            </w:r>
            <w:r w:rsidR="007A28AF" w:rsidRPr="007A28AF">
              <w:rPr>
                <w:b/>
              </w:rPr>
              <w:t>8</w:t>
            </w:r>
            <w:r w:rsidR="00486D5F" w:rsidRPr="00323397">
              <w:rPr>
                <w:b/>
              </w:rPr>
              <w:t xml:space="preserve"> </w:t>
            </w:r>
            <w:r w:rsidR="007A28AF">
              <w:rPr>
                <w:b/>
              </w:rPr>
              <w:t>ноя</w:t>
            </w:r>
            <w:r w:rsidR="00E95D1F">
              <w:rPr>
                <w:b/>
              </w:rPr>
              <w:t>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A96895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323397" w:rsidRPr="00323397">
              <w:rPr>
                <w:b/>
              </w:rPr>
              <w:t>1</w:t>
            </w:r>
            <w:r w:rsidR="007A28AF">
              <w:rPr>
                <w:b/>
              </w:rPr>
              <w:t>8</w:t>
            </w:r>
            <w:r w:rsidR="009F546D">
              <w:rPr>
                <w:b/>
              </w:rPr>
              <w:t xml:space="preserve"> </w:t>
            </w:r>
            <w:r w:rsidR="007A28AF">
              <w:rPr>
                <w:b/>
              </w:rPr>
              <w:t>ноя</w:t>
            </w:r>
            <w:r w:rsidR="00E95D1F">
              <w:rPr>
                <w:b/>
              </w:rPr>
              <w:t>бря</w:t>
            </w:r>
            <w:r w:rsidR="009F546D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>2016 г. Решение единственного участник</w:t>
            </w:r>
            <w:proofErr w:type="gramStart"/>
            <w:r w:rsidR="00D357CA" w:rsidRPr="00D357CA">
              <w:rPr>
                <w:b/>
              </w:rPr>
              <w:t>а ООО</w:t>
            </w:r>
            <w:proofErr w:type="gramEnd"/>
            <w:r w:rsidR="00D357CA" w:rsidRPr="00D357CA">
              <w:rPr>
                <w:b/>
              </w:rPr>
              <w:t xml:space="preserve"> «Лента» № </w:t>
            </w:r>
            <w:r w:rsidR="006C3F72">
              <w:rPr>
                <w:b/>
              </w:rPr>
              <w:t>1</w:t>
            </w:r>
            <w:r w:rsidR="00E95D1F">
              <w:rPr>
                <w:b/>
              </w:rPr>
              <w:t>8</w:t>
            </w:r>
            <w:r w:rsidR="00A96895">
              <w:rPr>
                <w:b/>
              </w:rPr>
              <w:t>2</w:t>
            </w:r>
            <w:r w:rsidR="00D357CA" w:rsidRPr="00D357CA">
              <w:rPr>
                <w:b/>
              </w:rPr>
              <w:t xml:space="preserve">-Л.  </w:t>
            </w:r>
          </w:p>
        </w:tc>
      </w:tr>
      <w:tr w:rsidR="00E95D1F" w:rsidRPr="00074968" w:rsidTr="00AA1B46">
        <w:tc>
          <w:tcPr>
            <w:tcW w:w="10137" w:type="dxa"/>
            <w:shd w:val="clear" w:color="auto" w:fill="auto"/>
          </w:tcPr>
          <w:p w:rsidR="00E95D1F" w:rsidRPr="00074968" w:rsidRDefault="00E95D1F" w:rsidP="00AA1B46">
            <w:pPr>
              <w:adjustRightInd w:val="0"/>
              <w:jc w:val="both"/>
            </w:pP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9F546D" w:rsidRDefault="00323397" w:rsidP="007A28AF">
            <w:pPr>
              <w:jc w:val="center"/>
              <w:rPr>
                <w:highlight w:val="yellow"/>
              </w:rPr>
            </w:pPr>
            <w:r>
              <w:t>1</w:t>
            </w:r>
            <w:r w:rsidR="007A28AF">
              <w:t>8</w:t>
            </w:r>
            <w:r w:rsidR="009F546D" w:rsidRPr="00353B3F"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9F546D" w:rsidRDefault="00EC708F" w:rsidP="00B3229E">
            <w:pPr>
              <w:rPr>
                <w:highlight w:val="yellow"/>
              </w:rPr>
            </w:pPr>
            <w:r w:rsidRPr="009F546D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7A28AF" w:rsidP="00744D28">
            <w:pPr>
              <w:jc w:val="center"/>
            </w:pPr>
            <w:r>
              <w:t>но</w:t>
            </w:r>
            <w:r w:rsidR="00E95D1F">
              <w:t>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5D097E9F"/>
    <w:multiLevelType w:val="multilevel"/>
    <w:tmpl w:val="CEAAC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691229AB"/>
    <w:multiLevelType w:val="hybridMultilevel"/>
    <w:tmpl w:val="80D4B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2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77F0379"/>
    <w:multiLevelType w:val="hybridMultilevel"/>
    <w:tmpl w:val="D16A8BEC"/>
    <w:lvl w:ilvl="0" w:tplc="E8CA0ED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7"/>
  </w:num>
  <w:num w:numId="17">
    <w:abstractNumId w:val="44"/>
  </w:num>
  <w:num w:numId="18">
    <w:abstractNumId w:val="1"/>
  </w:num>
  <w:num w:numId="19">
    <w:abstractNumId w:val="40"/>
  </w:num>
  <w:num w:numId="20">
    <w:abstractNumId w:val="38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41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2"/>
  </w:num>
  <w:num w:numId="38">
    <w:abstractNumId w:val="16"/>
  </w:num>
  <w:num w:numId="39">
    <w:abstractNumId w:val="27"/>
  </w:num>
  <w:num w:numId="40">
    <w:abstractNumId w:val="22"/>
  </w:num>
  <w:num w:numId="41">
    <w:abstractNumId w:val="43"/>
  </w:num>
  <w:num w:numId="42">
    <w:abstractNumId w:val="9"/>
  </w:num>
  <w:num w:numId="43">
    <w:abstractNumId w:val="19"/>
  </w:num>
  <w:num w:numId="44">
    <w:abstractNumId w:val="36"/>
  </w:num>
  <w:num w:numId="45">
    <w:abstractNumId w:val="39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02AC7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4F31"/>
    <w:rsid w:val="002E727B"/>
    <w:rsid w:val="002F103F"/>
    <w:rsid w:val="0031683D"/>
    <w:rsid w:val="0031747A"/>
    <w:rsid w:val="00323397"/>
    <w:rsid w:val="003274CA"/>
    <w:rsid w:val="00332B6F"/>
    <w:rsid w:val="00353B3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3F72"/>
    <w:rsid w:val="006E512B"/>
    <w:rsid w:val="006F368A"/>
    <w:rsid w:val="006F72E8"/>
    <w:rsid w:val="00706060"/>
    <w:rsid w:val="00710112"/>
    <w:rsid w:val="00722241"/>
    <w:rsid w:val="00737E40"/>
    <w:rsid w:val="00744D28"/>
    <w:rsid w:val="00746EAB"/>
    <w:rsid w:val="007619B6"/>
    <w:rsid w:val="0077239C"/>
    <w:rsid w:val="0078046F"/>
    <w:rsid w:val="0078298C"/>
    <w:rsid w:val="007964EE"/>
    <w:rsid w:val="007A28AF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9F546D"/>
    <w:rsid w:val="00A03FE3"/>
    <w:rsid w:val="00A26690"/>
    <w:rsid w:val="00A321E8"/>
    <w:rsid w:val="00A326A9"/>
    <w:rsid w:val="00A55A54"/>
    <w:rsid w:val="00A65464"/>
    <w:rsid w:val="00A771BE"/>
    <w:rsid w:val="00A905E6"/>
    <w:rsid w:val="00A96895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017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CE5E43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95D1F"/>
    <w:rsid w:val="00EB1279"/>
    <w:rsid w:val="00EC708F"/>
    <w:rsid w:val="00ED42FD"/>
    <w:rsid w:val="00ED6FF1"/>
    <w:rsid w:val="00F00073"/>
    <w:rsid w:val="00F03E04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3</cp:revision>
  <cp:lastPrinted>2014-02-10T13:50:00Z</cp:lastPrinted>
  <dcterms:created xsi:type="dcterms:W3CDTF">2016-11-18T14:14:00Z</dcterms:created>
  <dcterms:modified xsi:type="dcterms:W3CDTF">2016-11-18T14:15:00Z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