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56F2" w:rsidRPr="0071415F" w:rsidRDefault="004856F2" w:rsidP="00EA38E4">
      <w:pPr>
        <w:jc w:val="center"/>
        <w:rPr>
          <w:b/>
          <w:bCs/>
          <w:sz w:val="22"/>
          <w:szCs w:val="22"/>
        </w:rPr>
      </w:pPr>
      <w:r w:rsidRPr="0071415F">
        <w:rPr>
          <w:b/>
          <w:bCs/>
          <w:sz w:val="22"/>
          <w:szCs w:val="22"/>
        </w:rPr>
        <w:t xml:space="preserve">Сообщение о существенном факте </w:t>
      </w:r>
      <w:r w:rsidRPr="0071415F">
        <w:rPr>
          <w:b/>
          <w:bCs/>
          <w:sz w:val="22"/>
          <w:szCs w:val="22"/>
        </w:rPr>
        <w:br/>
        <w:t>«Сведения об этапах процедуры эмиссии эмиссионных ценных бумаг»</w:t>
      </w:r>
    </w:p>
    <w:p w:rsidR="004856F2" w:rsidRPr="0071415F" w:rsidRDefault="004856F2" w:rsidP="0027398A">
      <w:pPr>
        <w:ind w:firstLine="720"/>
        <w:jc w:val="center"/>
        <w:rPr>
          <w:b/>
          <w:bCs/>
          <w:sz w:val="22"/>
          <w:szCs w:val="22"/>
        </w:rPr>
      </w:pPr>
      <w:bookmarkStart w:id="0" w:name="_GoBack"/>
      <w:bookmarkEnd w:id="0"/>
    </w:p>
    <w:tbl>
      <w:tblPr>
        <w:tblW w:w="0" w:type="auto"/>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231"/>
        <w:gridCol w:w="4834"/>
      </w:tblGrid>
      <w:tr w:rsidR="004856F2" w:rsidRPr="0071415F" w:rsidTr="0027398A">
        <w:tc>
          <w:tcPr>
            <w:tcW w:w="10065" w:type="dxa"/>
            <w:gridSpan w:val="2"/>
          </w:tcPr>
          <w:p w:rsidR="004856F2" w:rsidRPr="0071415F" w:rsidRDefault="004856F2" w:rsidP="0027398A">
            <w:pPr>
              <w:jc w:val="center"/>
              <w:rPr>
                <w:sz w:val="22"/>
                <w:szCs w:val="22"/>
              </w:rPr>
            </w:pPr>
            <w:r w:rsidRPr="0071415F">
              <w:rPr>
                <w:sz w:val="22"/>
                <w:szCs w:val="22"/>
              </w:rPr>
              <w:t>1. Общие сведения</w:t>
            </w:r>
          </w:p>
        </w:tc>
      </w:tr>
      <w:tr w:rsidR="004856F2" w:rsidRPr="0071415F" w:rsidTr="0027398A">
        <w:tc>
          <w:tcPr>
            <w:tcW w:w="5231" w:type="dxa"/>
          </w:tcPr>
          <w:p w:rsidR="004856F2" w:rsidRPr="0071415F" w:rsidRDefault="004856F2" w:rsidP="0027398A">
            <w:pPr>
              <w:ind w:left="85" w:right="85"/>
              <w:jc w:val="both"/>
              <w:rPr>
                <w:sz w:val="22"/>
                <w:szCs w:val="22"/>
              </w:rPr>
            </w:pPr>
            <w:r w:rsidRPr="0071415F">
              <w:rPr>
                <w:sz w:val="22"/>
                <w:szCs w:val="22"/>
              </w:rPr>
              <w:t>1.1. Полное фирменное наименование эмитента (для некоммерческой организации – наименование)</w:t>
            </w:r>
          </w:p>
        </w:tc>
        <w:tc>
          <w:tcPr>
            <w:tcW w:w="4834" w:type="dxa"/>
          </w:tcPr>
          <w:p w:rsidR="004856F2" w:rsidRPr="0071415F" w:rsidRDefault="004856F2" w:rsidP="0071415F">
            <w:pPr>
              <w:ind w:left="85" w:right="85"/>
              <w:jc w:val="both"/>
              <w:rPr>
                <w:b/>
                <w:bCs/>
                <w:iCs/>
                <w:sz w:val="22"/>
                <w:szCs w:val="22"/>
              </w:rPr>
            </w:pPr>
            <w:r w:rsidRPr="0071415F">
              <w:rPr>
                <w:b/>
                <w:bCs/>
                <w:iCs/>
                <w:sz w:val="22"/>
                <w:szCs w:val="22"/>
              </w:rPr>
              <w:t>Общество с ограниченной ответственностью «Лента»</w:t>
            </w:r>
          </w:p>
        </w:tc>
      </w:tr>
      <w:tr w:rsidR="004856F2" w:rsidRPr="0071415F" w:rsidTr="0027398A">
        <w:tc>
          <w:tcPr>
            <w:tcW w:w="5231" w:type="dxa"/>
          </w:tcPr>
          <w:p w:rsidR="004856F2" w:rsidRPr="0071415F" w:rsidRDefault="004856F2" w:rsidP="0027398A">
            <w:pPr>
              <w:ind w:left="85" w:right="85"/>
              <w:jc w:val="both"/>
              <w:rPr>
                <w:sz w:val="22"/>
                <w:szCs w:val="22"/>
              </w:rPr>
            </w:pPr>
            <w:r w:rsidRPr="0071415F">
              <w:rPr>
                <w:sz w:val="22"/>
                <w:szCs w:val="22"/>
              </w:rPr>
              <w:t>1.2. Сокращенное фирменное наименование эмитента</w:t>
            </w:r>
          </w:p>
        </w:tc>
        <w:tc>
          <w:tcPr>
            <w:tcW w:w="4834" w:type="dxa"/>
          </w:tcPr>
          <w:p w:rsidR="004856F2" w:rsidRPr="0071415F" w:rsidRDefault="004856F2" w:rsidP="0071415F">
            <w:pPr>
              <w:ind w:left="85" w:right="85"/>
              <w:jc w:val="both"/>
              <w:rPr>
                <w:b/>
                <w:bCs/>
                <w:iCs/>
                <w:sz w:val="22"/>
                <w:szCs w:val="22"/>
              </w:rPr>
            </w:pPr>
            <w:r w:rsidRPr="0071415F">
              <w:rPr>
                <w:b/>
                <w:bCs/>
                <w:iCs/>
                <w:sz w:val="22"/>
                <w:szCs w:val="22"/>
              </w:rPr>
              <w:t>ООО «Лента»</w:t>
            </w:r>
          </w:p>
        </w:tc>
      </w:tr>
      <w:tr w:rsidR="004856F2" w:rsidRPr="0071415F" w:rsidTr="0027398A">
        <w:tc>
          <w:tcPr>
            <w:tcW w:w="5231" w:type="dxa"/>
          </w:tcPr>
          <w:p w:rsidR="004856F2" w:rsidRPr="0071415F" w:rsidRDefault="004856F2" w:rsidP="0027398A">
            <w:pPr>
              <w:ind w:left="85" w:right="85"/>
              <w:jc w:val="both"/>
              <w:rPr>
                <w:sz w:val="22"/>
                <w:szCs w:val="22"/>
              </w:rPr>
            </w:pPr>
            <w:r w:rsidRPr="0071415F">
              <w:rPr>
                <w:sz w:val="22"/>
                <w:szCs w:val="22"/>
              </w:rPr>
              <w:t>1.3. Место нахождения эмитента</w:t>
            </w:r>
          </w:p>
        </w:tc>
        <w:tc>
          <w:tcPr>
            <w:tcW w:w="4834" w:type="dxa"/>
          </w:tcPr>
          <w:p w:rsidR="004856F2" w:rsidRPr="0071415F" w:rsidRDefault="004856F2" w:rsidP="0071415F">
            <w:pPr>
              <w:ind w:left="85" w:right="85"/>
              <w:jc w:val="both"/>
              <w:rPr>
                <w:b/>
                <w:bCs/>
                <w:iCs/>
                <w:sz w:val="22"/>
                <w:szCs w:val="22"/>
              </w:rPr>
            </w:pPr>
            <w:r w:rsidRPr="0071415F">
              <w:rPr>
                <w:b/>
                <w:bCs/>
                <w:iCs/>
                <w:sz w:val="22"/>
                <w:szCs w:val="22"/>
              </w:rPr>
              <w:t>197374, г. Санкт-Петербург, ул. Савушкина, д. 112</w:t>
            </w:r>
          </w:p>
        </w:tc>
      </w:tr>
      <w:tr w:rsidR="004856F2" w:rsidRPr="0071415F" w:rsidTr="00DD199C">
        <w:tc>
          <w:tcPr>
            <w:tcW w:w="5231" w:type="dxa"/>
          </w:tcPr>
          <w:p w:rsidR="004856F2" w:rsidRPr="0071415F" w:rsidRDefault="004856F2" w:rsidP="0027398A">
            <w:pPr>
              <w:ind w:left="85" w:right="85"/>
              <w:jc w:val="both"/>
              <w:rPr>
                <w:sz w:val="22"/>
                <w:szCs w:val="22"/>
              </w:rPr>
            </w:pPr>
            <w:r w:rsidRPr="0071415F">
              <w:rPr>
                <w:sz w:val="22"/>
                <w:szCs w:val="22"/>
              </w:rPr>
              <w:t>1.4. ОГРН эмитента</w:t>
            </w:r>
          </w:p>
        </w:tc>
        <w:tc>
          <w:tcPr>
            <w:tcW w:w="4834" w:type="dxa"/>
            <w:vAlign w:val="center"/>
          </w:tcPr>
          <w:p w:rsidR="004856F2" w:rsidRPr="0071415F" w:rsidRDefault="004856F2" w:rsidP="0071415F">
            <w:pPr>
              <w:ind w:left="85" w:right="85"/>
              <w:jc w:val="both"/>
              <w:rPr>
                <w:b/>
                <w:bCs/>
                <w:i/>
                <w:iCs/>
                <w:sz w:val="22"/>
                <w:szCs w:val="22"/>
                <w:lang w:val="en-US"/>
              </w:rPr>
            </w:pPr>
            <w:r w:rsidRPr="0071415F">
              <w:rPr>
                <w:rStyle w:val="SUBST"/>
                <w:i w:val="0"/>
                <w:iCs/>
                <w:szCs w:val="22"/>
              </w:rPr>
              <w:t>1037832048605</w:t>
            </w:r>
          </w:p>
        </w:tc>
      </w:tr>
      <w:tr w:rsidR="004856F2" w:rsidRPr="0071415F" w:rsidTr="00DD199C">
        <w:tc>
          <w:tcPr>
            <w:tcW w:w="5231" w:type="dxa"/>
          </w:tcPr>
          <w:p w:rsidR="004856F2" w:rsidRPr="0071415F" w:rsidRDefault="004856F2" w:rsidP="0027398A">
            <w:pPr>
              <w:ind w:left="85" w:right="85"/>
              <w:jc w:val="both"/>
              <w:rPr>
                <w:sz w:val="22"/>
                <w:szCs w:val="22"/>
              </w:rPr>
            </w:pPr>
            <w:r w:rsidRPr="0071415F">
              <w:rPr>
                <w:sz w:val="22"/>
                <w:szCs w:val="22"/>
              </w:rPr>
              <w:t>1.5. ИНН эмитента</w:t>
            </w:r>
          </w:p>
        </w:tc>
        <w:tc>
          <w:tcPr>
            <w:tcW w:w="4834" w:type="dxa"/>
            <w:vAlign w:val="center"/>
          </w:tcPr>
          <w:p w:rsidR="004856F2" w:rsidRPr="0071415F" w:rsidRDefault="004856F2" w:rsidP="0071415F">
            <w:pPr>
              <w:ind w:left="85" w:right="85"/>
              <w:jc w:val="both"/>
              <w:rPr>
                <w:b/>
                <w:bCs/>
                <w:iCs/>
                <w:sz w:val="22"/>
                <w:szCs w:val="22"/>
                <w:lang w:val="en-US"/>
              </w:rPr>
            </w:pPr>
            <w:bookmarkStart w:id="1" w:name="_Toc249340413"/>
            <w:r w:rsidRPr="0071415F">
              <w:rPr>
                <w:b/>
                <w:bCs/>
                <w:sz w:val="22"/>
                <w:szCs w:val="22"/>
              </w:rPr>
              <w:t xml:space="preserve">7814148471 </w:t>
            </w:r>
            <w:bookmarkEnd w:id="1"/>
          </w:p>
        </w:tc>
      </w:tr>
      <w:tr w:rsidR="004856F2" w:rsidRPr="0071415F" w:rsidTr="0027398A">
        <w:tc>
          <w:tcPr>
            <w:tcW w:w="5231" w:type="dxa"/>
          </w:tcPr>
          <w:p w:rsidR="004856F2" w:rsidRPr="0071415F" w:rsidRDefault="004856F2" w:rsidP="0027398A">
            <w:pPr>
              <w:ind w:left="85" w:right="85"/>
              <w:jc w:val="both"/>
              <w:rPr>
                <w:sz w:val="22"/>
                <w:szCs w:val="22"/>
              </w:rPr>
            </w:pPr>
            <w:r w:rsidRPr="0071415F">
              <w:rPr>
                <w:sz w:val="22"/>
                <w:szCs w:val="22"/>
              </w:rPr>
              <w:t>1.6. Уникальный код эмитента, присвоенный регистрирующим органом</w:t>
            </w:r>
          </w:p>
        </w:tc>
        <w:tc>
          <w:tcPr>
            <w:tcW w:w="4834" w:type="dxa"/>
          </w:tcPr>
          <w:p w:rsidR="004856F2" w:rsidRPr="0071415F" w:rsidRDefault="004856F2" w:rsidP="0071415F">
            <w:pPr>
              <w:ind w:left="85" w:right="85"/>
              <w:jc w:val="both"/>
              <w:rPr>
                <w:b/>
                <w:bCs/>
                <w:i/>
                <w:iCs/>
                <w:sz w:val="22"/>
                <w:szCs w:val="22"/>
                <w:lang w:val="en-US"/>
              </w:rPr>
            </w:pPr>
            <w:r w:rsidRPr="0071415F">
              <w:rPr>
                <w:rStyle w:val="SUBST"/>
                <w:i w:val="0"/>
                <w:iCs/>
                <w:szCs w:val="22"/>
              </w:rPr>
              <w:t>36420-R</w:t>
            </w:r>
          </w:p>
        </w:tc>
      </w:tr>
      <w:tr w:rsidR="004856F2" w:rsidRPr="0071415F" w:rsidTr="0027398A">
        <w:tc>
          <w:tcPr>
            <w:tcW w:w="5231" w:type="dxa"/>
          </w:tcPr>
          <w:p w:rsidR="004856F2" w:rsidRPr="0071415F" w:rsidRDefault="004856F2" w:rsidP="0027398A">
            <w:pPr>
              <w:ind w:left="85" w:right="85"/>
              <w:jc w:val="both"/>
              <w:rPr>
                <w:sz w:val="22"/>
                <w:szCs w:val="22"/>
              </w:rPr>
            </w:pPr>
            <w:r w:rsidRPr="0071415F">
              <w:rPr>
                <w:sz w:val="22"/>
                <w:szCs w:val="22"/>
              </w:rPr>
              <w:t>1.7. Адрес страницы в сети Интернет, используемой эмитентом для раскрытия информации</w:t>
            </w:r>
          </w:p>
        </w:tc>
        <w:tc>
          <w:tcPr>
            <w:tcW w:w="4834" w:type="dxa"/>
          </w:tcPr>
          <w:p w:rsidR="004856F2" w:rsidRPr="0071415F" w:rsidRDefault="004856F2" w:rsidP="0071415F">
            <w:pPr>
              <w:pStyle w:val="CharCharCharChar"/>
              <w:ind w:left="85"/>
              <w:rPr>
                <w:rFonts w:ascii="Times New Roman" w:hAnsi="Times New Roman" w:cs="Times New Roman"/>
                <w:b/>
                <w:bCs/>
                <w:iCs/>
                <w:sz w:val="22"/>
                <w:szCs w:val="22"/>
                <w:lang w:val="ru-RU"/>
              </w:rPr>
            </w:pPr>
            <w:r w:rsidRPr="0071415F">
              <w:rPr>
                <w:rFonts w:ascii="Times New Roman" w:hAnsi="Times New Roman" w:cs="Times New Roman"/>
                <w:b/>
                <w:bCs/>
                <w:iCs/>
                <w:sz w:val="22"/>
                <w:szCs w:val="22"/>
              </w:rPr>
              <w:t>www</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lenta</w:t>
            </w:r>
            <w:r w:rsidRPr="0071415F">
              <w:rPr>
                <w:rFonts w:ascii="Times New Roman" w:hAnsi="Times New Roman" w:cs="Times New Roman"/>
                <w:b/>
                <w:bCs/>
                <w:iCs/>
                <w:sz w:val="22"/>
                <w:szCs w:val="22"/>
                <w:lang w:val="ru-RU"/>
              </w:rPr>
              <w:t>.</w:t>
            </w:r>
            <w:r w:rsidRPr="0071415F">
              <w:rPr>
                <w:rFonts w:ascii="Times New Roman" w:hAnsi="Times New Roman" w:cs="Times New Roman"/>
                <w:b/>
                <w:bCs/>
                <w:iCs/>
                <w:sz w:val="22"/>
                <w:szCs w:val="22"/>
              </w:rPr>
              <w:t>com</w:t>
            </w:r>
          </w:p>
          <w:p w:rsidR="004856F2" w:rsidRPr="0071415F" w:rsidRDefault="004856F2" w:rsidP="0071415F">
            <w:pPr>
              <w:ind w:left="85" w:right="85"/>
              <w:jc w:val="both"/>
              <w:rPr>
                <w:b/>
                <w:bCs/>
                <w:iCs/>
                <w:sz w:val="22"/>
                <w:szCs w:val="22"/>
              </w:rPr>
            </w:pPr>
            <w:r w:rsidRPr="0071415F">
              <w:rPr>
                <w:b/>
                <w:bCs/>
                <w:iCs/>
                <w:sz w:val="22"/>
                <w:szCs w:val="22"/>
                <w:lang w:val="en-US"/>
              </w:rPr>
              <w:t>http</w:t>
            </w:r>
            <w:r w:rsidRPr="0071415F">
              <w:rPr>
                <w:b/>
                <w:bCs/>
                <w:iCs/>
                <w:sz w:val="22"/>
                <w:szCs w:val="22"/>
              </w:rPr>
              <w:t>://</w:t>
            </w:r>
            <w:r w:rsidRPr="0071415F">
              <w:rPr>
                <w:b/>
                <w:bCs/>
                <w:iCs/>
                <w:sz w:val="22"/>
                <w:szCs w:val="22"/>
                <w:lang w:val="en-US"/>
              </w:rPr>
              <w:t>www</w:t>
            </w:r>
            <w:r w:rsidRPr="0071415F">
              <w:rPr>
                <w:b/>
                <w:bCs/>
                <w:iCs/>
                <w:sz w:val="22"/>
                <w:szCs w:val="22"/>
              </w:rPr>
              <w:t>.</w:t>
            </w:r>
            <w:r w:rsidRPr="0071415F">
              <w:rPr>
                <w:b/>
                <w:bCs/>
                <w:iCs/>
                <w:sz w:val="22"/>
                <w:szCs w:val="22"/>
                <w:lang w:val="en-US"/>
              </w:rPr>
              <w:t>e</w:t>
            </w:r>
            <w:r w:rsidRPr="0071415F">
              <w:rPr>
                <w:b/>
                <w:bCs/>
                <w:iCs/>
                <w:sz w:val="22"/>
                <w:szCs w:val="22"/>
              </w:rPr>
              <w:t>-</w:t>
            </w:r>
            <w:r w:rsidRPr="0071415F">
              <w:rPr>
                <w:b/>
                <w:bCs/>
                <w:iCs/>
                <w:sz w:val="22"/>
                <w:szCs w:val="22"/>
                <w:lang w:val="en-US"/>
              </w:rPr>
              <w:t>disclosure</w:t>
            </w:r>
            <w:r w:rsidRPr="0071415F">
              <w:rPr>
                <w:b/>
                <w:bCs/>
                <w:iCs/>
                <w:sz w:val="22"/>
                <w:szCs w:val="22"/>
              </w:rPr>
              <w:t>.</w:t>
            </w:r>
            <w:r w:rsidRPr="0071415F">
              <w:rPr>
                <w:b/>
                <w:bCs/>
                <w:iCs/>
                <w:sz w:val="22"/>
                <w:szCs w:val="22"/>
                <w:lang w:val="en-US"/>
              </w:rPr>
              <w:t>ru</w:t>
            </w:r>
            <w:r w:rsidRPr="0071415F">
              <w:rPr>
                <w:b/>
                <w:bCs/>
                <w:iCs/>
                <w:sz w:val="22"/>
                <w:szCs w:val="22"/>
              </w:rPr>
              <w:t>/</w:t>
            </w:r>
            <w:r w:rsidRPr="0071415F">
              <w:rPr>
                <w:b/>
                <w:bCs/>
                <w:iCs/>
                <w:sz w:val="22"/>
                <w:szCs w:val="22"/>
                <w:lang w:val="en-US"/>
              </w:rPr>
              <w:t>portal</w:t>
            </w:r>
            <w:r w:rsidRPr="0071415F">
              <w:rPr>
                <w:b/>
                <w:bCs/>
                <w:iCs/>
                <w:sz w:val="22"/>
                <w:szCs w:val="22"/>
              </w:rPr>
              <w:t>/</w:t>
            </w:r>
            <w:r w:rsidRPr="0071415F">
              <w:rPr>
                <w:b/>
                <w:bCs/>
                <w:iCs/>
                <w:sz w:val="22"/>
                <w:szCs w:val="22"/>
                <w:lang w:val="en-US"/>
              </w:rPr>
              <w:t>company</w:t>
            </w:r>
            <w:r w:rsidRPr="0071415F">
              <w:rPr>
                <w:b/>
                <w:bCs/>
                <w:iCs/>
                <w:sz w:val="22"/>
                <w:szCs w:val="22"/>
              </w:rPr>
              <w:t>.</w:t>
            </w:r>
            <w:r w:rsidRPr="0071415F">
              <w:rPr>
                <w:b/>
                <w:bCs/>
                <w:iCs/>
                <w:sz w:val="22"/>
                <w:szCs w:val="22"/>
                <w:lang w:val="en-US"/>
              </w:rPr>
              <w:t>aspx</w:t>
            </w:r>
            <w:r w:rsidRPr="0071415F">
              <w:rPr>
                <w:b/>
                <w:bCs/>
                <w:iCs/>
                <w:sz w:val="22"/>
                <w:szCs w:val="22"/>
              </w:rPr>
              <w:t>?</w:t>
            </w:r>
            <w:r w:rsidRPr="0071415F">
              <w:rPr>
                <w:b/>
                <w:bCs/>
                <w:iCs/>
                <w:sz w:val="22"/>
                <w:szCs w:val="22"/>
                <w:lang w:val="en-US"/>
              </w:rPr>
              <w:t>id</w:t>
            </w:r>
            <w:r w:rsidRPr="0071415F">
              <w:rPr>
                <w:b/>
                <w:bCs/>
                <w:iCs/>
                <w:sz w:val="22"/>
                <w:szCs w:val="22"/>
              </w:rPr>
              <w:t>=32010</w:t>
            </w:r>
          </w:p>
        </w:tc>
      </w:tr>
    </w:tbl>
    <w:p w:rsidR="004856F2" w:rsidRPr="0071415F" w:rsidRDefault="004856F2" w:rsidP="009D58EB">
      <w:pPr>
        <w:jc w:val="both"/>
        <w:rPr>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1"/>
      </w:tblGrid>
      <w:tr w:rsidR="004856F2" w:rsidRPr="0071415F" w:rsidTr="009F421A">
        <w:tc>
          <w:tcPr>
            <w:tcW w:w="10031" w:type="dxa"/>
          </w:tcPr>
          <w:p w:rsidR="004856F2" w:rsidRPr="0071415F" w:rsidRDefault="004856F2" w:rsidP="009F421A">
            <w:pPr>
              <w:jc w:val="center"/>
              <w:rPr>
                <w:sz w:val="22"/>
                <w:szCs w:val="22"/>
              </w:rPr>
            </w:pPr>
            <w:r w:rsidRPr="0071415F">
              <w:rPr>
                <w:sz w:val="22"/>
                <w:szCs w:val="22"/>
              </w:rPr>
              <w:t xml:space="preserve">2. Содержание сообщения </w:t>
            </w:r>
          </w:p>
        </w:tc>
      </w:tr>
      <w:tr w:rsidR="004856F2" w:rsidRPr="0071415F" w:rsidTr="003B4CAC">
        <w:tc>
          <w:tcPr>
            <w:tcW w:w="10031" w:type="dxa"/>
          </w:tcPr>
          <w:p w:rsidR="004856F2" w:rsidRPr="0071415F" w:rsidRDefault="004856F2" w:rsidP="003B4CAC">
            <w:pPr>
              <w:jc w:val="center"/>
              <w:rPr>
                <w:sz w:val="22"/>
                <w:szCs w:val="22"/>
              </w:rPr>
            </w:pPr>
            <w:r w:rsidRPr="0071415F">
              <w:rPr>
                <w:sz w:val="22"/>
                <w:szCs w:val="22"/>
              </w:rPr>
              <w:t xml:space="preserve"> «Сведения о принятии решения о размещении ценных бумаг»</w:t>
            </w:r>
          </w:p>
        </w:tc>
      </w:tr>
      <w:tr w:rsidR="004856F2" w:rsidRPr="0071415F" w:rsidTr="009F421A">
        <w:tc>
          <w:tcPr>
            <w:tcW w:w="10031" w:type="dxa"/>
          </w:tcPr>
          <w:p w:rsidR="004856F2" w:rsidRPr="003432CF" w:rsidRDefault="004856F2" w:rsidP="0071415F">
            <w:pPr>
              <w:jc w:val="both"/>
              <w:rPr>
                <w:b/>
                <w:sz w:val="22"/>
                <w:szCs w:val="22"/>
              </w:rPr>
            </w:pPr>
            <w:r w:rsidRPr="0071415F">
              <w:rPr>
                <w:sz w:val="22"/>
                <w:szCs w:val="22"/>
              </w:rPr>
              <w:t>2.1. О</w:t>
            </w:r>
            <w:r>
              <w:rPr>
                <w:sz w:val="22"/>
                <w:szCs w:val="22"/>
              </w:rPr>
              <w:t>рган управления эмитента, принявший решение о размещении ценных бумаг, и способ принятия решения (указывается вид общего собрания (годовое или внеочередное) в случае если органом управления эмитента, принявшим решение о размещении ценных бумаг, является общее собрание участников (акционеров) эмитента, а также форма голосования (совместное присутствие или заочное голосование)</w:t>
            </w:r>
            <w:r w:rsidRPr="0071415F">
              <w:rPr>
                <w:sz w:val="22"/>
                <w:szCs w:val="22"/>
              </w:rPr>
              <w:t xml:space="preserve">: </w:t>
            </w:r>
            <w:r w:rsidRPr="003432CF">
              <w:rPr>
                <w:b/>
                <w:color w:val="000000"/>
                <w:sz w:val="22"/>
                <w:szCs w:val="22"/>
              </w:rPr>
              <w:t xml:space="preserve">решение </w:t>
            </w:r>
            <w:r w:rsidRPr="003432CF">
              <w:rPr>
                <w:b/>
                <w:sz w:val="22"/>
                <w:szCs w:val="22"/>
              </w:rPr>
              <w:t>принято Единственным участником Общества с ограниченной ответственностью «Лента» (далее – «Эмитент»)</w:t>
            </w:r>
          </w:p>
          <w:p w:rsidR="004856F2" w:rsidRDefault="004856F2" w:rsidP="00F91960">
            <w:pPr>
              <w:ind w:right="85"/>
              <w:jc w:val="both"/>
              <w:rPr>
                <w:sz w:val="22"/>
                <w:szCs w:val="22"/>
              </w:rPr>
            </w:pPr>
            <w:r w:rsidRPr="0071415F">
              <w:rPr>
                <w:sz w:val="22"/>
                <w:szCs w:val="22"/>
              </w:rPr>
              <w:t>2.2. Дата и место проведения собрания (заседания) уполномоченного органа управления эмитента, на котором принято решение о размещении ценных бумаг:</w:t>
            </w:r>
            <w:r w:rsidRPr="0071415F" w:rsidDel="00EC1696">
              <w:rPr>
                <w:sz w:val="22"/>
                <w:szCs w:val="22"/>
              </w:rPr>
              <w:t xml:space="preserve"> </w:t>
            </w:r>
            <w:r w:rsidRPr="00A0703B">
              <w:rPr>
                <w:b/>
                <w:sz w:val="22"/>
                <w:szCs w:val="22"/>
              </w:rPr>
              <w:t xml:space="preserve">«28» </w:t>
            </w:r>
            <w:r>
              <w:rPr>
                <w:b/>
                <w:sz w:val="22"/>
                <w:szCs w:val="22"/>
              </w:rPr>
              <w:t>июня</w:t>
            </w:r>
            <w:r w:rsidRPr="003432CF">
              <w:rPr>
                <w:b/>
                <w:sz w:val="22"/>
                <w:szCs w:val="22"/>
              </w:rPr>
              <w:t xml:space="preserve"> 201</w:t>
            </w:r>
            <w:r>
              <w:rPr>
                <w:b/>
                <w:sz w:val="22"/>
                <w:szCs w:val="22"/>
              </w:rPr>
              <w:t>3</w:t>
            </w:r>
            <w:r w:rsidRPr="003432CF">
              <w:rPr>
                <w:b/>
                <w:sz w:val="22"/>
                <w:szCs w:val="22"/>
              </w:rPr>
              <w:t xml:space="preserve"> г. по адресу: </w:t>
            </w:r>
            <w:r w:rsidRPr="003432CF">
              <w:rPr>
                <w:b/>
                <w:bCs/>
                <w:sz w:val="22"/>
                <w:szCs w:val="22"/>
              </w:rPr>
              <w:t>197374, г. Санкт-Петербург, ул. Савушкина, д. 112</w:t>
            </w:r>
          </w:p>
          <w:p w:rsidR="004856F2" w:rsidRDefault="004856F2" w:rsidP="0071415F">
            <w:pPr>
              <w:adjustRightInd w:val="0"/>
              <w:jc w:val="both"/>
              <w:rPr>
                <w:sz w:val="22"/>
                <w:szCs w:val="22"/>
              </w:rPr>
            </w:pPr>
            <w:r w:rsidRPr="0071415F">
              <w:rPr>
                <w:sz w:val="22"/>
                <w:szCs w:val="22"/>
              </w:rPr>
              <w:t>2.3. Дата составления и номер протокола собрания (заседания) уполномоченного органа управления эмитента, на котором принято решение о размещении ценных бумаг</w:t>
            </w:r>
            <w:r w:rsidRPr="00A0703B">
              <w:rPr>
                <w:sz w:val="22"/>
                <w:szCs w:val="22"/>
              </w:rPr>
              <w:t>:</w:t>
            </w:r>
            <w:r w:rsidRPr="00A0703B">
              <w:rPr>
                <w:b/>
                <w:sz w:val="22"/>
                <w:szCs w:val="22"/>
              </w:rPr>
              <w:t xml:space="preserve"> </w:t>
            </w:r>
            <w:r w:rsidRPr="00A0703B">
              <w:rPr>
                <w:sz w:val="22"/>
                <w:szCs w:val="22"/>
              </w:rPr>
              <w:t xml:space="preserve"> </w:t>
            </w:r>
            <w:r w:rsidRPr="00A0703B">
              <w:rPr>
                <w:b/>
                <w:sz w:val="22"/>
                <w:szCs w:val="22"/>
              </w:rPr>
              <w:t>«28» июня 2013</w:t>
            </w:r>
            <w:r w:rsidRPr="008771E3">
              <w:rPr>
                <w:b/>
                <w:sz w:val="22"/>
                <w:szCs w:val="22"/>
              </w:rPr>
              <w:t xml:space="preserve"> года, </w:t>
            </w:r>
            <w:r>
              <w:rPr>
                <w:b/>
                <w:sz w:val="22"/>
                <w:szCs w:val="22"/>
              </w:rPr>
              <w:t>Решение</w:t>
            </w:r>
            <w:r w:rsidRPr="008771E3">
              <w:rPr>
                <w:b/>
                <w:sz w:val="22"/>
                <w:szCs w:val="22"/>
              </w:rPr>
              <w:t xml:space="preserve">  </w:t>
            </w:r>
            <w:r w:rsidRPr="00A0703B">
              <w:rPr>
                <w:b/>
                <w:sz w:val="22"/>
                <w:szCs w:val="22"/>
              </w:rPr>
              <w:t>№124-Л.</w:t>
            </w:r>
          </w:p>
          <w:p w:rsidR="004856F2" w:rsidRPr="003432CF" w:rsidRDefault="004856F2" w:rsidP="0071415F">
            <w:pPr>
              <w:adjustRightInd w:val="0"/>
              <w:jc w:val="both"/>
              <w:rPr>
                <w:sz w:val="22"/>
                <w:szCs w:val="22"/>
              </w:rPr>
            </w:pPr>
            <w:r w:rsidRPr="0071415F">
              <w:rPr>
                <w:sz w:val="22"/>
                <w:szCs w:val="22"/>
              </w:rPr>
              <w:t>2.4. </w:t>
            </w:r>
            <w:r>
              <w:rPr>
                <w:sz w:val="22"/>
                <w:szCs w:val="22"/>
              </w:rPr>
              <w:t>Кворум и результаты голосования по вопросу о принятии решения о размещении ценных бумаг</w:t>
            </w:r>
            <w:r w:rsidRPr="0071415F">
              <w:rPr>
                <w:sz w:val="22"/>
                <w:szCs w:val="22"/>
              </w:rPr>
              <w:t xml:space="preserve">: </w:t>
            </w:r>
            <w:r w:rsidRPr="008771E3">
              <w:rPr>
                <w:b/>
                <w:sz w:val="22"/>
                <w:szCs w:val="22"/>
              </w:rPr>
              <w:t>Кворум соблюден.</w:t>
            </w:r>
            <w:r w:rsidRPr="003432CF">
              <w:rPr>
                <w:b/>
                <w:sz w:val="22"/>
                <w:szCs w:val="22"/>
              </w:rPr>
              <w:t xml:space="preserve"> Решение принято </w:t>
            </w:r>
            <w:r>
              <w:rPr>
                <w:b/>
                <w:sz w:val="22"/>
                <w:szCs w:val="22"/>
              </w:rPr>
              <w:t>Е</w:t>
            </w:r>
            <w:r w:rsidRPr="003432CF">
              <w:rPr>
                <w:b/>
                <w:sz w:val="22"/>
                <w:szCs w:val="22"/>
              </w:rPr>
              <w:t>динственн</w:t>
            </w:r>
            <w:r>
              <w:rPr>
                <w:b/>
                <w:sz w:val="22"/>
                <w:szCs w:val="22"/>
              </w:rPr>
              <w:t>ым</w:t>
            </w:r>
            <w:r w:rsidRPr="003432CF" w:rsidDel="00A626D3">
              <w:rPr>
                <w:b/>
                <w:sz w:val="22"/>
                <w:szCs w:val="22"/>
              </w:rPr>
              <w:t xml:space="preserve"> </w:t>
            </w:r>
            <w:r w:rsidRPr="003432CF">
              <w:rPr>
                <w:b/>
                <w:sz w:val="22"/>
                <w:szCs w:val="22"/>
              </w:rPr>
              <w:t>участник</w:t>
            </w:r>
            <w:r>
              <w:rPr>
                <w:b/>
                <w:sz w:val="22"/>
                <w:szCs w:val="22"/>
              </w:rPr>
              <w:t>ом</w:t>
            </w:r>
            <w:r w:rsidRPr="003432CF">
              <w:rPr>
                <w:b/>
                <w:sz w:val="22"/>
                <w:szCs w:val="22"/>
              </w:rPr>
              <w:t>.</w:t>
            </w:r>
          </w:p>
          <w:p w:rsidR="004856F2" w:rsidRPr="0071415F" w:rsidRDefault="004856F2" w:rsidP="009F421A">
            <w:pPr>
              <w:jc w:val="both"/>
              <w:rPr>
                <w:sz w:val="22"/>
                <w:szCs w:val="22"/>
              </w:rPr>
            </w:pPr>
            <w:r w:rsidRPr="0071415F">
              <w:rPr>
                <w:sz w:val="22"/>
                <w:szCs w:val="22"/>
              </w:rPr>
              <w:t>2.5. Полная формулировка принятого решения о размещении ценных бумаг:</w:t>
            </w:r>
          </w:p>
          <w:p w:rsidR="004856F2" w:rsidRPr="0071415F" w:rsidRDefault="004856F2" w:rsidP="0071415F">
            <w:pPr>
              <w:jc w:val="both"/>
              <w:rPr>
                <w:b/>
                <w:sz w:val="22"/>
                <w:szCs w:val="22"/>
              </w:rPr>
            </w:pPr>
            <w:r w:rsidRPr="0071415F">
              <w:rPr>
                <w:b/>
                <w:sz w:val="22"/>
                <w:szCs w:val="22"/>
              </w:rPr>
              <w:t>Разместить документарные процентные неконвертируемые Биржевые облигации на предъявителя с обязательным централизованным хранением серии БО-0</w:t>
            </w:r>
            <w:r>
              <w:rPr>
                <w:b/>
                <w:sz w:val="22"/>
                <w:szCs w:val="22"/>
              </w:rPr>
              <w:t>5</w:t>
            </w:r>
            <w:r w:rsidRPr="0071415F">
              <w:rPr>
                <w:b/>
                <w:sz w:val="22"/>
                <w:szCs w:val="22"/>
              </w:rPr>
              <w:t xml:space="preserve"> в количестве </w:t>
            </w:r>
            <w:r>
              <w:rPr>
                <w:b/>
                <w:sz w:val="22"/>
                <w:szCs w:val="22"/>
              </w:rPr>
              <w:t>4</w:t>
            </w:r>
            <w:r w:rsidRPr="0071415F">
              <w:rPr>
                <w:b/>
                <w:sz w:val="22"/>
                <w:szCs w:val="22"/>
              </w:rPr>
              <w:t xml:space="preserve"> 000 000 (</w:t>
            </w:r>
            <w:r>
              <w:rPr>
                <w:b/>
                <w:sz w:val="22"/>
                <w:szCs w:val="22"/>
              </w:rPr>
              <w:t>Четыре</w:t>
            </w:r>
            <w:r w:rsidRPr="0071415F">
              <w:rPr>
                <w:b/>
                <w:sz w:val="22"/>
                <w:szCs w:val="22"/>
              </w:rPr>
              <w:t xml:space="preserve"> миллиона) штук номинальной стоимостью 1 000 (Одна тысяча) рублей каждая общей номинальной стоимостью </w:t>
            </w:r>
            <w:r>
              <w:rPr>
                <w:b/>
                <w:sz w:val="22"/>
                <w:szCs w:val="22"/>
              </w:rPr>
              <w:t>4</w:t>
            </w:r>
            <w:r w:rsidRPr="0071415F">
              <w:rPr>
                <w:b/>
                <w:sz w:val="22"/>
                <w:szCs w:val="22"/>
              </w:rPr>
              <w:t xml:space="preserve"> 000 000 000 (</w:t>
            </w:r>
            <w:r>
              <w:rPr>
                <w:b/>
                <w:sz w:val="22"/>
                <w:szCs w:val="22"/>
              </w:rPr>
              <w:t>Четыре</w:t>
            </w:r>
            <w:r w:rsidRPr="0071415F">
              <w:rPr>
                <w:b/>
                <w:sz w:val="22"/>
                <w:szCs w:val="22"/>
              </w:rPr>
              <w:t xml:space="preserve"> миллиарда) рублей со сроком погашения в 3 640-й (Три тысячи шестьсот сороковой) день с даты начала размещения Биржевых облигаций выпуска, c возможностью досрочного погашения по требованию владельцев и по усмотрению Эмитента, размещаемые по открытой подписке  (далее по тексту – Биржевые облигации) на следующих условиях:</w:t>
            </w:r>
          </w:p>
          <w:p w:rsidR="004856F2" w:rsidRPr="0071415F" w:rsidRDefault="004856F2" w:rsidP="0071415F">
            <w:pPr>
              <w:jc w:val="both"/>
              <w:rPr>
                <w:b/>
                <w:sz w:val="22"/>
                <w:szCs w:val="22"/>
              </w:rPr>
            </w:pPr>
            <w:r w:rsidRPr="0071415F">
              <w:rPr>
                <w:b/>
                <w:sz w:val="22"/>
                <w:szCs w:val="22"/>
                <w:u w:val="single"/>
              </w:rPr>
              <w:t>1. Способ размещения:</w:t>
            </w:r>
            <w:r w:rsidRPr="0071415F">
              <w:rPr>
                <w:b/>
                <w:sz w:val="22"/>
                <w:szCs w:val="22"/>
              </w:rPr>
              <w:t xml:space="preserve"> открытая подписка</w:t>
            </w:r>
          </w:p>
          <w:p w:rsidR="004856F2" w:rsidRPr="0071415F" w:rsidRDefault="004856F2" w:rsidP="0071415F">
            <w:pPr>
              <w:pStyle w:val="BodyTextbt"/>
              <w:adjustRightInd w:val="0"/>
              <w:rPr>
                <w:rStyle w:val="SUBST"/>
                <w:b/>
              </w:rPr>
            </w:pPr>
            <w:r w:rsidRPr="0071415F">
              <w:rPr>
                <w:i w:val="0"/>
                <w:u w:val="single"/>
              </w:rPr>
              <w:t>2. Форма оплаты:</w:t>
            </w:r>
            <w:r w:rsidRPr="0071415F">
              <w:t xml:space="preserve"> </w:t>
            </w:r>
            <w:r w:rsidRPr="0071415F">
              <w:rPr>
                <w:rStyle w:val="SUBST"/>
                <w:b/>
              </w:rPr>
              <w:t>При приобретении Биржевых облигаций выпуска предусмотрена форма оплаты денежными средствами в валюте Российской Федерации в безналичном порядке.</w:t>
            </w:r>
          </w:p>
          <w:p w:rsidR="004856F2" w:rsidRPr="0071415F" w:rsidRDefault="004856F2" w:rsidP="0071415F">
            <w:pPr>
              <w:pStyle w:val="NormalPrefix"/>
              <w:widowControl/>
              <w:spacing w:before="0" w:after="0"/>
              <w:jc w:val="both"/>
              <w:rPr>
                <w:rStyle w:val="SUBST"/>
                <w:bCs/>
                <w:i w:val="0"/>
                <w:iCs/>
              </w:rPr>
            </w:pPr>
            <w:r w:rsidRPr="0071415F">
              <w:rPr>
                <w:rStyle w:val="SUBST"/>
                <w:bCs/>
                <w:i w:val="0"/>
                <w:iCs/>
              </w:rPr>
              <w:t>Возможность рассрочки при оплате Биржевых облигаций выпуска не предусмотрена.</w:t>
            </w:r>
          </w:p>
          <w:p w:rsidR="004856F2" w:rsidRPr="0071415F" w:rsidRDefault="004856F2" w:rsidP="0071415F">
            <w:pPr>
              <w:widowControl w:val="0"/>
              <w:jc w:val="both"/>
              <w:rPr>
                <w:b/>
                <w:sz w:val="22"/>
                <w:szCs w:val="22"/>
                <w:u w:val="single"/>
              </w:rPr>
            </w:pPr>
            <w:r w:rsidRPr="0071415F">
              <w:rPr>
                <w:b/>
                <w:sz w:val="22"/>
                <w:szCs w:val="22"/>
                <w:u w:val="single"/>
              </w:rPr>
              <w:t>3. Цена размещения Биржевых облигаций:</w:t>
            </w:r>
          </w:p>
          <w:p w:rsidR="004856F2" w:rsidRPr="0071415F" w:rsidRDefault="004856F2" w:rsidP="0071415F">
            <w:pPr>
              <w:jc w:val="both"/>
              <w:rPr>
                <w:rStyle w:val="SUBST"/>
                <w:bCs/>
                <w:i w:val="0"/>
                <w:iCs/>
                <w:szCs w:val="22"/>
              </w:rPr>
            </w:pPr>
            <w:r w:rsidRPr="0071415F">
              <w:rPr>
                <w:rStyle w:val="SUBST"/>
                <w:bCs/>
                <w:i w:val="0"/>
                <w:iCs/>
                <w:szCs w:val="22"/>
              </w:rPr>
              <w:t xml:space="preserve">Цена размещения Биржевых облигаций </w:t>
            </w:r>
            <w:r w:rsidRPr="0071415F">
              <w:rPr>
                <w:rStyle w:val="SUBST"/>
                <w:i w:val="0"/>
                <w:szCs w:val="22"/>
              </w:rPr>
              <w:t>в первый и последующие дни размещения устанавливается в размере</w:t>
            </w:r>
            <w:r w:rsidRPr="0071415F">
              <w:rPr>
                <w:rStyle w:val="SUBST"/>
                <w:bCs/>
                <w:i w:val="0"/>
                <w:iCs/>
                <w:szCs w:val="22"/>
              </w:rPr>
              <w:t xml:space="preserve"> 100% (Сто процентов) от номинальной стоимости Биржевых облигаций, что составляет 1000 (Одну тысячу) рублей за одну Биржевую облигацию.</w:t>
            </w:r>
          </w:p>
          <w:p w:rsidR="004856F2" w:rsidRPr="0071415F" w:rsidRDefault="004856F2" w:rsidP="0071415F">
            <w:pPr>
              <w:jc w:val="both"/>
              <w:rPr>
                <w:rStyle w:val="SUBST"/>
                <w:bCs/>
                <w:i w:val="0"/>
                <w:iCs/>
                <w:szCs w:val="22"/>
              </w:rPr>
            </w:pPr>
            <w:r w:rsidRPr="0071415F">
              <w:rPr>
                <w:rStyle w:val="SUBST"/>
                <w:bCs/>
                <w:i w:val="0"/>
                <w:iCs/>
                <w:szCs w:val="22"/>
              </w:rPr>
              <w:t>Начиная со второго дня размещения Биржевых облигаций выпуска, покупатель при совершении сделки купли-продажи Биржевых облигаций также уплачивает накопленный купонный доход по Биржевым облигациям (НКД), определяемый по следующей формуле:</w:t>
            </w:r>
          </w:p>
          <w:p w:rsidR="004856F2" w:rsidRPr="0071415F" w:rsidRDefault="004856F2" w:rsidP="0071415F">
            <w:pPr>
              <w:jc w:val="both"/>
              <w:rPr>
                <w:b/>
                <w:sz w:val="22"/>
                <w:szCs w:val="22"/>
                <w:lang w:val="de-DE"/>
              </w:rPr>
            </w:pPr>
            <w:r w:rsidRPr="0071415F">
              <w:rPr>
                <w:b/>
                <w:sz w:val="22"/>
                <w:szCs w:val="22"/>
              </w:rPr>
              <w:t>НКД</w:t>
            </w:r>
            <w:r w:rsidRPr="0071415F">
              <w:rPr>
                <w:b/>
                <w:sz w:val="22"/>
                <w:szCs w:val="22"/>
                <w:lang w:val="de-DE"/>
              </w:rPr>
              <w:t xml:space="preserve"> = Nom * C1 * (T - T0) / 365/ 100%, </w:t>
            </w:r>
            <w:r w:rsidRPr="0071415F">
              <w:rPr>
                <w:b/>
                <w:sz w:val="22"/>
                <w:szCs w:val="22"/>
              </w:rPr>
              <w:t>где</w:t>
            </w:r>
          </w:p>
          <w:p w:rsidR="004856F2" w:rsidRPr="0071415F" w:rsidRDefault="004856F2" w:rsidP="0071415F">
            <w:pPr>
              <w:jc w:val="both"/>
              <w:rPr>
                <w:rStyle w:val="SUBST"/>
                <w:bCs/>
                <w:i w:val="0"/>
                <w:iCs/>
                <w:szCs w:val="22"/>
              </w:rPr>
            </w:pPr>
            <w:r w:rsidRPr="0071415F">
              <w:rPr>
                <w:rStyle w:val="SUBST"/>
                <w:bCs/>
                <w:i w:val="0"/>
                <w:iCs/>
                <w:szCs w:val="22"/>
              </w:rPr>
              <w:t>НКД - накопленный купонный доход, руб.</w:t>
            </w:r>
          </w:p>
          <w:p w:rsidR="004856F2" w:rsidRPr="0071415F" w:rsidRDefault="004856F2" w:rsidP="0071415F">
            <w:pPr>
              <w:jc w:val="both"/>
              <w:rPr>
                <w:rStyle w:val="SUBST"/>
                <w:bCs/>
                <w:i w:val="0"/>
                <w:iCs/>
                <w:szCs w:val="22"/>
              </w:rPr>
            </w:pPr>
            <w:r w:rsidRPr="0071415F">
              <w:rPr>
                <w:rStyle w:val="SUBST"/>
                <w:bCs/>
                <w:i w:val="0"/>
                <w:iCs/>
                <w:szCs w:val="22"/>
              </w:rPr>
              <w:t>Nom - номинальная стоимость одной Биржевой облигации, руб.;</w:t>
            </w:r>
          </w:p>
          <w:p w:rsidR="004856F2" w:rsidRPr="0071415F" w:rsidRDefault="004856F2" w:rsidP="0071415F">
            <w:pPr>
              <w:jc w:val="both"/>
              <w:rPr>
                <w:rStyle w:val="SUBST"/>
                <w:bCs/>
                <w:i w:val="0"/>
                <w:iCs/>
                <w:szCs w:val="22"/>
              </w:rPr>
            </w:pPr>
            <w:r w:rsidRPr="0071415F">
              <w:rPr>
                <w:rStyle w:val="SUBST"/>
                <w:bCs/>
                <w:i w:val="0"/>
                <w:iCs/>
                <w:szCs w:val="22"/>
              </w:rPr>
              <w:t>С1 - размер процентной ставки первого купона, проценты годовых;</w:t>
            </w:r>
          </w:p>
          <w:p w:rsidR="004856F2" w:rsidRPr="0071415F" w:rsidRDefault="004856F2" w:rsidP="0071415F">
            <w:pPr>
              <w:jc w:val="both"/>
              <w:rPr>
                <w:rStyle w:val="SUBST"/>
                <w:bCs/>
                <w:i w:val="0"/>
                <w:iCs/>
                <w:szCs w:val="22"/>
              </w:rPr>
            </w:pPr>
            <w:r w:rsidRPr="0071415F">
              <w:rPr>
                <w:rStyle w:val="SUBST"/>
                <w:bCs/>
                <w:i w:val="0"/>
                <w:iCs/>
                <w:szCs w:val="22"/>
              </w:rPr>
              <w:t>T - дата размещения Биржевых облигаций;</w:t>
            </w:r>
          </w:p>
          <w:p w:rsidR="004856F2" w:rsidRPr="0071415F" w:rsidRDefault="004856F2" w:rsidP="0071415F">
            <w:pPr>
              <w:jc w:val="both"/>
              <w:rPr>
                <w:rStyle w:val="SUBST"/>
                <w:bCs/>
                <w:i w:val="0"/>
                <w:iCs/>
                <w:szCs w:val="22"/>
              </w:rPr>
            </w:pPr>
            <w:r w:rsidRPr="0071415F">
              <w:rPr>
                <w:rStyle w:val="SUBST"/>
                <w:bCs/>
                <w:i w:val="0"/>
                <w:iCs/>
                <w:szCs w:val="22"/>
              </w:rPr>
              <w:lastRenderedPageBreak/>
              <w:t>T0 - дата начала размещения Биржевых облигаций.</w:t>
            </w:r>
          </w:p>
          <w:p w:rsidR="004856F2" w:rsidRPr="0071415F" w:rsidRDefault="004856F2" w:rsidP="0071415F">
            <w:pPr>
              <w:jc w:val="both"/>
              <w:rPr>
                <w:rStyle w:val="SUBST"/>
                <w:bCs/>
                <w:i w:val="0"/>
                <w:iCs/>
                <w:szCs w:val="22"/>
              </w:rPr>
            </w:pPr>
            <w:r w:rsidRPr="0071415F">
              <w:rPr>
                <w:rStyle w:val="SUBST"/>
                <w:bCs/>
                <w:i w:val="0"/>
                <w:iCs/>
                <w:szCs w:val="22"/>
              </w:rPr>
              <w:t>Величина накопленного купонного дохода в расчете на одну Биржевую облигацию определяется с точностью до одной копейки (округление производится по правилам математического округления. При этом под правилом математического округления следует понимать метод округления, при котором значение целой копейки (целых копеек) не изменяется, если первая за округляемой цифра равна от 0 до 4, и изменяется, увеличиваясь на единицу, если первая за округляемой цифра равна 5 - 9).</w:t>
            </w:r>
          </w:p>
          <w:p w:rsidR="004856F2" w:rsidRPr="0071415F" w:rsidRDefault="004856F2" w:rsidP="0071415F">
            <w:pPr>
              <w:rPr>
                <w:b/>
                <w:sz w:val="22"/>
                <w:szCs w:val="22"/>
                <w:u w:val="single"/>
              </w:rPr>
            </w:pPr>
            <w:r w:rsidRPr="0071415F">
              <w:rPr>
                <w:b/>
                <w:sz w:val="22"/>
                <w:szCs w:val="22"/>
                <w:u w:val="single"/>
              </w:rPr>
              <w:t>4. Форма, порядок и срок погашения Биржевых облигаций:</w:t>
            </w:r>
          </w:p>
          <w:p w:rsidR="004856F2" w:rsidRPr="0071415F" w:rsidRDefault="004856F2" w:rsidP="0071415F">
            <w:pPr>
              <w:adjustRightInd w:val="0"/>
              <w:jc w:val="both"/>
              <w:rPr>
                <w:rStyle w:val="SUBST"/>
                <w:bCs/>
                <w:i w:val="0"/>
                <w:iCs/>
                <w:szCs w:val="22"/>
              </w:rPr>
            </w:pPr>
            <w:r w:rsidRPr="0071415F">
              <w:rPr>
                <w:rStyle w:val="SUBST"/>
                <w:bCs/>
                <w:i w:val="0"/>
                <w:iCs/>
                <w:szCs w:val="22"/>
              </w:rPr>
              <w:t>Погашение Биржевых облигаций производится денежными средствами в валюте Российской Федерации в безналичном порядке. Возможность выбора владельцами Биржевых облигаций формы погашения Биржевых облигаций не предусмотрена.</w:t>
            </w:r>
          </w:p>
          <w:p w:rsidR="004856F2" w:rsidRPr="0071415F" w:rsidRDefault="004856F2" w:rsidP="0071415F">
            <w:pPr>
              <w:jc w:val="both"/>
              <w:rPr>
                <w:b/>
                <w:bCs/>
                <w:sz w:val="22"/>
                <w:szCs w:val="22"/>
              </w:rPr>
            </w:pPr>
            <w:r w:rsidRPr="0071415F">
              <w:rPr>
                <w:b/>
                <w:bCs/>
                <w:sz w:val="22"/>
                <w:szCs w:val="22"/>
              </w:rPr>
              <w:t>Срок погашения Биржевых облигаций выпуска:</w:t>
            </w:r>
          </w:p>
          <w:p w:rsidR="004856F2" w:rsidRPr="0071415F" w:rsidRDefault="004856F2" w:rsidP="0071415F">
            <w:pPr>
              <w:jc w:val="both"/>
              <w:rPr>
                <w:b/>
                <w:bCs/>
                <w:sz w:val="22"/>
                <w:szCs w:val="22"/>
              </w:rPr>
            </w:pPr>
            <w:r w:rsidRPr="0071415F">
              <w:rPr>
                <w:b/>
                <w:bCs/>
                <w:sz w:val="22"/>
                <w:szCs w:val="22"/>
              </w:rPr>
              <w:t>Дата начала погашения Биржевых облигаций:</w:t>
            </w:r>
          </w:p>
          <w:p w:rsidR="004856F2" w:rsidRPr="0071415F" w:rsidRDefault="004856F2" w:rsidP="0071415F">
            <w:pPr>
              <w:pStyle w:val="3"/>
              <w:spacing w:after="0"/>
              <w:ind w:left="0"/>
              <w:rPr>
                <w:rStyle w:val="SUBST"/>
                <w:i w:val="0"/>
                <w:szCs w:val="22"/>
              </w:rPr>
            </w:pPr>
            <w:r w:rsidRPr="0071415F">
              <w:rPr>
                <w:rStyle w:val="SUBST"/>
                <w:i w:val="0"/>
                <w:szCs w:val="22"/>
              </w:rPr>
              <w:t>3 640-й (Три тысячи шестьсот сороковой) день с даты начала размещения Биржевых облигаций выпуска.</w:t>
            </w:r>
          </w:p>
          <w:p w:rsidR="004856F2" w:rsidRPr="0071415F" w:rsidRDefault="004856F2" w:rsidP="0071415F">
            <w:pPr>
              <w:jc w:val="both"/>
              <w:rPr>
                <w:b/>
                <w:bCs/>
                <w:sz w:val="22"/>
                <w:szCs w:val="22"/>
              </w:rPr>
            </w:pPr>
            <w:r w:rsidRPr="0071415F">
              <w:rPr>
                <w:b/>
                <w:bCs/>
                <w:sz w:val="22"/>
                <w:szCs w:val="22"/>
              </w:rPr>
              <w:t>Дата окончания погашения:</w:t>
            </w:r>
          </w:p>
          <w:p w:rsidR="004856F2" w:rsidRPr="0071415F" w:rsidRDefault="004856F2" w:rsidP="0071415F">
            <w:pPr>
              <w:rPr>
                <w:b/>
                <w:sz w:val="22"/>
                <w:szCs w:val="22"/>
              </w:rPr>
            </w:pPr>
            <w:r w:rsidRPr="0071415F">
              <w:rPr>
                <w:rStyle w:val="SUBST"/>
                <w:i w:val="0"/>
                <w:szCs w:val="22"/>
              </w:rPr>
              <w:t>Даты начала и окончания погашения Биржевых облигаций выпуска совпадают.</w:t>
            </w:r>
          </w:p>
          <w:p w:rsidR="004856F2" w:rsidRPr="0071415F" w:rsidRDefault="004856F2" w:rsidP="0071415F">
            <w:pPr>
              <w:jc w:val="both"/>
              <w:rPr>
                <w:rStyle w:val="SUBST"/>
                <w:i w:val="0"/>
                <w:szCs w:val="22"/>
              </w:rPr>
            </w:pPr>
            <w:r w:rsidRPr="0071415F">
              <w:rPr>
                <w:rStyle w:val="SUBST"/>
                <w:i w:val="0"/>
                <w:szCs w:val="22"/>
              </w:rPr>
              <w:t>Если Дата погашения Биржевых облигаций приходится на нерабочий праздничный или выходной день - независимо от того, будет ли это государственный выходной день или выходной день для расчетных операций, - то перечисление надлежащей суммы производится в первый рабочий день, следующий за нерабочим праздничным или выходным днем. Владелец Биржевых облигаций не имеет права требовать начисления процентов или какой-либо иной компенсации за такую задержку в платеже.</w:t>
            </w:r>
          </w:p>
          <w:p w:rsidR="004856F2" w:rsidRPr="0071415F" w:rsidRDefault="004856F2" w:rsidP="0071415F">
            <w:pPr>
              <w:jc w:val="both"/>
              <w:rPr>
                <w:rStyle w:val="SUBST"/>
                <w:i w:val="0"/>
                <w:szCs w:val="22"/>
              </w:rPr>
            </w:pPr>
            <w:r w:rsidRPr="0071415F">
              <w:rPr>
                <w:rStyle w:val="SUBST"/>
                <w:bCs/>
                <w:i w:val="0"/>
                <w:iCs/>
                <w:szCs w:val="22"/>
              </w:rPr>
              <w:t>Передача выплат при погашении Биржевых облигаций производится в соответствии с порядком, установленным действующим законодательством Российской Федерации.</w:t>
            </w:r>
          </w:p>
          <w:p w:rsidR="004856F2" w:rsidRPr="0071415F" w:rsidRDefault="004856F2" w:rsidP="0071415F">
            <w:pPr>
              <w:jc w:val="both"/>
              <w:rPr>
                <w:rStyle w:val="SUBST"/>
                <w:bCs/>
                <w:i w:val="0"/>
                <w:iCs/>
                <w:szCs w:val="22"/>
              </w:rPr>
            </w:pPr>
            <w:r w:rsidRPr="0071415F">
              <w:rPr>
                <w:rStyle w:val="SUBST"/>
                <w:bCs/>
                <w:i w:val="0"/>
                <w:iCs/>
                <w:szCs w:val="22"/>
              </w:rPr>
              <w:t>Владельцы и иные лица, осуществляющие в соответствии с федеральными законами права по Биржевым облигациям, получают выплаты по Биржевым облигациям через депозитарий, осуществляющий учет прав на ценные бумаги, депонентами которого они являются. Депозитарный договор между депозитарием, осуществляющим учет прав на ценные бумаги, и депонентом должен содержать порядок передачи депоненту выплат по ценным бумагам.</w:t>
            </w:r>
          </w:p>
          <w:p w:rsidR="004856F2" w:rsidRPr="0071415F" w:rsidRDefault="004856F2" w:rsidP="0071415F">
            <w:pPr>
              <w:jc w:val="both"/>
              <w:rPr>
                <w:rStyle w:val="SUBST"/>
                <w:bCs/>
                <w:i w:val="0"/>
                <w:iCs/>
                <w:szCs w:val="22"/>
              </w:rPr>
            </w:pPr>
            <w:r w:rsidRPr="0071415F">
              <w:rPr>
                <w:rStyle w:val="SUBST"/>
                <w:bCs/>
                <w:i w:val="0"/>
                <w:iCs/>
                <w:szCs w:val="22"/>
              </w:rPr>
              <w:t>Эмитент исполняет обязанность по осуществлению выплат по ценным бумагам путем перечисления денежных средств НРД. Указанная обязанность считается исполненной эмитентом с даты поступления денежных средств на счет НРД.</w:t>
            </w:r>
          </w:p>
          <w:p w:rsidR="004856F2" w:rsidRPr="0071415F" w:rsidRDefault="004856F2" w:rsidP="0071415F">
            <w:pPr>
              <w:jc w:val="both"/>
              <w:rPr>
                <w:rStyle w:val="SUBST"/>
                <w:i w:val="0"/>
                <w:szCs w:val="22"/>
              </w:rPr>
            </w:pPr>
            <w:r w:rsidRPr="0071415F">
              <w:rPr>
                <w:rStyle w:val="SUBST"/>
                <w:i w:val="0"/>
                <w:szCs w:val="22"/>
              </w:rPr>
              <w:t>Передача выплат по Биржевым облигациям осуществляется депозитарием лицу, являвшемуся его депонентом:</w:t>
            </w:r>
          </w:p>
          <w:p w:rsidR="004856F2" w:rsidRPr="0071415F" w:rsidRDefault="004856F2" w:rsidP="0071415F">
            <w:pPr>
              <w:jc w:val="both"/>
              <w:rPr>
                <w:rStyle w:val="SUBST"/>
                <w:i w:val="0"/>
                <w:szCs w:val="22"/>
              </w:rPr>
            </w:pPr>
            <w:r w:rsidRPr="0071415F">
              <w:rPr>
                <w:rStyle w:val="SUBST"/>
                <w:i w:val="0"/>
                <w:szCs w:val="22"/>
              </w:rPr>
              <w:t>1) на конец операционного дня, предшествующего дате, которая определенна в соответствии с документом, удостоверяющим права, закрепленные  ценными бумагами, и на которую обязанность по осуществлению выплат по ценным бумагам подлежит исполнению;</w:t>
            </w:r>
          </w:p>
          <w:p w:rsidR="004856F2" w:rsidRPr="0071415F" w:rsidRDefault="004856F2" w:rsidP="0071415F">
            <w:pPr>
              <w:jc w:val="both"/>
              <w:rPr>
                <w:rStyle w:val="SUBST"/>
                <w:i w:val="0"/>
                <w:szCs w:val="22"/>
              </w:rPr>
            </w:pPr>
            <w:r w:rsidRPr="0071415F">
              <w:rPr>
                <w:rStyle w:val="SUBST"/>
                <w:i w:val="0"/>
                <w:szCs w:val="22"/>
              </w:rPr>
              <w:t>2) на конец операционного дня, следующего за датой, на которую НРД в соответствии с действующим законодательством раскрыта информация о получении НРД подлежащих передаче выплат по ценным бумагам в случае, если обязанность по осуществлению последней выплаты по ценным бумагам в установленный срок Эмитентом не исполнена или исполнена ненадлежащим образом.</w:t>
            </w:r>
          </w:p>
          <w:p w:rsidR="004856F2" w:rsidRPr="0071415F" w:rsidRDefault="004856F2" w:rsidP="0071415F">
            <w:pPr>
              <w:jc w:val="both"/>
              <w:rPr>
                <w:rStyle w:val="SUBST"/>
                <w:i w:val="0"/>
                <w:szCs w:val="22"/>
              </w:rPr>
            </w:pPr>
            <w:r w:rsidRPr="0071415F">
              <w:rPr>
                <w:rStyle w:val="SUBST"/>
                <w:i w:val="0"/>
                <w:szCs w:val="22"/>
              </w:rPr>
              <w:t>Депозитарий передает своим депонентам выплаты по ценным бумагам пропорционально количеству Биржевых облигаций, которые учитывались на их счетах депо на конец операционного дня, определенного в соответствии с вышеуказанным абзацем.</w:t>
            </w:r>
          </w:p>
          <w:p w:rsidR="004856F2" w:rsidRPr="0071415F" w:rsidRDefault="004856F2" w:rsidP="0071415F">
            <w:pPr>
              <w:jc w:val="both"/>
              <w:rPr>
                <w:rStyle w:val="SUBST"/>
                <w:i w:val="0"/>
                <w:szCs w:val="22"/>
              </w:rPr>
            </w:pPr>
            <w:r w:rsidRPr="0071415F">
              <w:rPr>
                <w:rStyle w:val="SUBST"/>
                <w:i w:val="0"/>
                <w:szCs w:val="22"/>
              </w:rPr>
              <w:t>Биржевые облигации погашаются по непогашенной части номинальной стоимости.  Непогашенная часть номинальной стоимости определяется как разница между номинальной стоимостью одной Биржевой облигации и ее частью, погашенной при частичном досрочном погашении Биржевых облигаций (в случае если решение о частичном досрочном погашении принято Эмитентом в соответствии с пунктом 9.5. Решения о выпуске ценных бумаг и п. 9.1.2 Проспекта ценных бумаг). При погашении Биржевых облигаций выплачивается также купонный доход за последний купонный период.</w:t>
            </w:r>
          </w:p>
          <w:p w:rsidR="004856F2" w:rsidRPr="0071415F" w:rsidRDefault="004856F2" w:rsidP="0071415F">
            <w:pPr>
              <w:jc w:val="both"/>
              <w:rPr>
                <w:rStyle w:val="SUBST"/>
                <w:i w:val="0"/>
                <w:szCs w:val="22"/>
              </w:rPr>
            </w:pPr>
            <w:r w:rsidRPr="0071415F">
              <w:rPr>
                <w:rStyle w:val="SUBST"/>
                <w:i w:val="0"/>
                <w:szCs w:val="22"/>
              </w:rPr>
              <w:t>Списание Биржевых облигаций со счетов депо при погашении производится после исполнения Эмитентом всех обязательств перед владельцами Биржевых облигаций по погашению номинальной стоимости (непогашенной части номинальной стоимости) Биржевых облигаций и выплате купонного дохода по ним за все купонные периоды.</w:t>
            </w:r>
          </w:p>
          <w:p w:rsidR="004856F2" w:rsidRPr="0071415F" w:rsidRDefault="004856F2" w:rsidP="0071415F">
            <w:pPr>
              <w:jc w:val="both"/>
              <w:rPr>
                <w:rStyle w:val="SUBST"/>
                <w:i w:val="0"/>
                <w:szCs w:val="22"/>
              </w:rPr>
            </w:pPr>
            <w:r w:rsidRPr="0071415F">
              <w:rPr>
                <w:rStyle w:val="SUBST"/>
                <w:i w:val="0"/>
                <w:szCs w:val="22"/>
              </w:rPr>
              <w:t>Снятие Сертификата с хранения производится после списания всех Биржевых облигаций со счетов в НРД.</w:t>
            </w:r>
          </w:p>
          <w:p w:rsidR="004856F2" w:rsidRPr="0071415F" w:rsidRDefault="004856F2" w:rsidP="0071415F">
            <w:pPr>
              <w:rPr>
                <w:b/>
                <w:sz w:val="22"/>
                <w:szCs w:val="22"/>
                <w:u w:val="single"/>
              </w:rPr>
            </w:pPr>
          </w:p>
          <w:p w:rsidR="004856F2" w:rsidRPr="0071415F" w:rsidRDefault="004856F2" w:rsidP="0071415F">
            <w:pPr>
              <w:rPr>
                <w:b/>
                <w:sz w:val="22"/>
                <w:szCs w:val="22"/>
                <w:u w:val="single"/>
              </w:rPr>
            </w:pPr>
            <w:r w:rsidRPr="0071415F">
              <w:rPr>
                <w:b/>
                <w:sz w:val="22"/>
                <w:szCs w:val="22"/>
                <w:u w:val="single"/>
              </w:rPr>
              <w:lastRenderedPageBreak/>
              <w:t>5. Досрочное погашение:</w:t>
            </w:r>
          </w:p>
          <w:p w:rsidR="004856F2" w:rsidRPr="0071415F" w:rsidRDefault="004856F2" w:rsidP="0071415F">
            <w:pPr>
              <w:adjustRightInd w:val="0"/>
              <w:jc w:val="both"/>
              <w:rPr>
                <w:b/>
                <w:color w:val="000000"/>
                <w:sz w:val="22"/>
                <w:szCs w:val="22"/>
              </w:rPr>
            </w:pPr>
            <w:r w:rsidRPr="0071415F">
              <w:rPr>
                <w:b/>
                <w:color w:val="000000"/>
                <w:sz w:val="22"/>
                <w:szCs w:val="22"/>
              </w:rPr>
              <w:t xml:space="preserve">Предусмотрена возможность досрочного погашения Биржевых облигаций по усмотрению Эмитента и по требованию их владельцев. </w:t>
            </w:r>
          </w:p>
          <w:p w:rsidR="004856F2" w:rsidRPr="0071415F" w:rsidRDefault="004856F2" w:rsidP="0071415F">
            <w:pPr>
              <w:adjustRightInd w:val="0"/>
              <w:jc w:val="both"/>
              <w:rPr>
                <w:b/>
                <w:color w:val="000000"/>
                <w:sz w:val="22"/>
                <w:szCs w:val="22"/>
              </w:rPr>
            </w:pPr>
            <w:r w:rsidRPr="0071415F">
              <w:rPr>
                <w:b/>
                <w:color w:val="000000"/>
                <w:sz w:val="22"/>
                <w:szCs w:val="22"/>
              </w:rPr>
              <w:t xml:space="preserve">Порядок и условия досрочного погашения Биржевых облигаций по усмотрению Эмитента устанавливаются Решением о выпуске ценных бумаг и Проспектом ценных бумаг ООО «Лента». Порядок и условия досрочного погашения Биржевых облигаций по требованию владельцев Биржевых облигаций устанавливаются Решением о выпуске ценных бумаг  и Проспектом ценных бумаг ООО «Лента». </w:t>
            </w:r>
          </w:p>
          <w:p w:rsidR="004856F2" w:rsidRPr="0071415F" w:rsidRDefault="004856F2" w:rsidP="0071415F">
            <w:pPr>
              <w:jc w:val="both"/>
              <w:rPr>
                <w:b/>
                <w:sz w:val="22"/>
                <w:szCs w:val="22"/>
                <w:u w:val="single"/>
              </w:rPr>
            </w:pPr>
            <w:r w:rsidRPr="0071415F">
              <w:rPr>
                <w:b/>
                <w:sz w:val="22"/>
                <w:szCs w:val="22"/>
                <w:u w:val="single"/>
              </w:rPr>
              <w:t>6. Расходы по внесению приходных записей по счетам депо:</w:t>
            </w:r>
          </w:p>
          <w:p w:rsidR="004856F2" w:rsidRPr="0071415F" w:rsidRDefault="004856F2" w:rsidP="0071415F">
            <w:pPr>
              <w:pStyle w:val="Heading21"/>
              <w:spacing w:before="0" w:after="0"/>
              <w:jc w:val="both"/>
              <w:rPr>
                <w:rStyle w:val="SUBST"/>
                <w:b/>
                <w:i w:val="0"/>
                <w:iCs/>
                <w:szCs w:val="22"/>
              </w:rPr>
            </w:pPr>
            <w:r w:rsidRPr="0071415F">
              <w:rPr>
                <w:rStyle w:val="SUBST"/>
                <w:b/>
                <w:i w:val="0"/>
                <w:iCs/>
                <w:szCs w:val="22"/>
              </w:rPr>
              <w:t>Все расходы, связанные с внесением приходных записей о зачислении размещаемых Биржевых облигаций на счета депо их первых владельцев (приобретателей), несут первые владельцы (приобретатели) таких Биржевых облигаций.</w:t>
            </w:r>
          </w:p>
          <w:p w:rsidR="004856F2" w:rsidRPr="0071415F" w:rsidRDefault="004856F2" w:rsidP="0071415F">
            <w:pPr>
              <w:tabs>
                <w:tab w:val="left" w:pos="851"/>
              </w:tabs>
              <w:jc w:val="both"/>
              <w:rPr>
                <w:rStyle w:val="SUBST"/>
                <w:i w:val="0"/>
                <w:szCs w:val="22"/>
                <w:u w:val="single"/>
              </w:rPr>
            </w:pPr>
            <w:r w:rsidRPr="0071415F">
              <w:rPr>
                <w:b/>
                <w:sz w:val="22"/>
                <w:szCs w:val="22"/>
                <w:u w:val="single"/>
              </w:rPr>
              <w:t xml:space="preserve">7. </w:t>
            </w:r>
            <w:r w:rsidRPr="0071415F">
              <w:rPr>
                <w:rStyle w:val="SUBST"/>
                <w:i w:val="0"/>
                <w:szCs w:val="22"/>
                <w:u w:val="single"/>
              </w:rPr>
              <w:t>Преимущественное право приобретения Биржевых облигаций не предусмотрено.</w:t>
            </w:r>
          </w:p>
          <w:p w:rsidR="004856F2" w:rsidRPr="0071415F" w:rsidRDefault="004856F2" w:rsidP="0071415F">
            <w:pPr>
              <w:pStyle w:val="af4"/>
              <w:tabs>
                <w:tab w:val="left" w:pos="0"/>
              </w:tabs>
              <w:autoSpaceDE w:val="0"/>
              <w:autoSpaceDN w:val="0"/>
              <w:spacing w:after="0"/>
              <w:ind w:left="0"/>
              <w:jc w:val="both"/>
              <w:rPr>
                <w:rStyle w:val="SUBST"/>
                <w:szCs w:val="22"/>
                <w:u w:val="single"/>
              </w:rPr>
            </w:pPr>
            <w:r w:rsidRPr="0071415F">
              <w:rPr>
                <w:rStyle w:val="SUBST"/>
                <w:i w:val="0"/>
                <w:szCs w:val="22"/>
                <w:u w:val="single"/>
              </w:rPr>
              <w:t>8. Прочие условия  размещения Биржевых облигаций устанавливаются в Решении о выпуске ценных бумаг и Проспекте ценных бумаг.</w:t>
            </w:r>
          </w:p>
          <w:p w:rsidR="004856F2" w:rsidRPr="0071415F" w:rsidRDefault="004856F2" w:rsidP="009F421A">
            <w:pPr>
              <w:jc w:val="both"/>
              <w:rPr>
                <w:b/>
                <w:i/>
                <w:sz w:val="22"/>
                <w:szCs w:val="22"/>
              </w:rPr>
            </w:pPr>
            <w:bookmarkStart w:id="2" w:name="_DV_M501"/>
            <w:bookmarkStart w:id="3" w:name="_DV_M502"/>
            <w:bookmarkStart w:id="4" w:name="_DV_M503"/>
            <w:bookmarkStart w:id="5" w:name="_DV_M522"/>
            <w:bookmarkStart w:id="6" w:name="_DV_M505"/>
            <w:bookmarkStart w:id="7" w:name="_DV_M507"/>
            <w:bookmarkStart w:id="8" w:name="_DV_M508"/>
            <w:bookmarkStart w:id="9" w:name="_DV_M509"/>
            <w:bookmarkStart w:id="10" w:name="_DV_M510"/>
            <w:bookmarkStart w:id="11" w:name="_DV_M511"/>
            <w:bookmarkStart w:id="12" w:name="_DV_M512"/>
            <w:bookmarkStart w:id="13" w:name="_DV_M513"/>
            <w:bookmarkStart w:id="14" w:name="_DV_M514"/>
            <w:bookmarkStart w:id="15" w:name="_DV_M515"/>
            <w:bookmarkStart w:id="16" w:name="_DV_M517"/>
            <w:bookmarkEnd w:id="2"/>
            <w:bookmarkEnd w:id="3"/>
            <w:bookmarkEnd w:id="4"/>
            <w:bookmarkEnd w:id="5"/>
            <w:bookmarkEnd w:id="6"/>
            <w:bookmarkEnd w:id="7"/>
            <w:bookmarkEnd w:id="8"/>
            <w:bookmarkEnd w:id="9"/>
            <w:bookmarkEnd w:id="10"/>
            <w:bookmarkEnd w:id="11"/>
            <w:bookmarkEnd w:id="12"/>
            <w:bookmarkEnd w:id="13"/>
            <w:bookmarkEnd w:id="14"/>
            <w:bookmarkEnd w:id="15"/>
            <w:bookmarkEnd w:id="16"/>
            <w:r w:rsidRPr="0071415F">
              <w:rPr>
                <w:sz w:val="22"/>
                <w:szCs w:val="22"/>
              </w:rPr>
              <w:t xml:space="preserve">2.6. Факт предоставления акционерам (участникам) эмитента и/или иным лицам преимущественного права приобретения ценных бумаг: </w:t>
            </w:r>
            <w:r w:rsidRPr="0071415F">
              <w:rPr>
                <w:rStyle w:val="SUBST"/>
                <w:bCs/>
                <w:i w:val="0"/>
                <w:iCs/>
                <w:szCs w:val="22"/>
              </w:rPr>
              <w:t xml:space="preserve">Преимущественное право приобретения </w:t>
            </w:r>
            <w:r w:rsidRPr="0071415F">
              <w:rPr>
                <w:b/>
                <w:iCs/>
                <w:sz w:val="22"/>
                <w:szCs w:val="22"/>
              </w:rPr>
              <w:t>в отношении</w:t>
            </w:r>
            <w:r w:rsidRPr="0071415F">
              <w:rPr>
                <w:i/>
                <w:iCs/>
                <w:sz w:val="22"/>
                <w:szCs w:val="22"/>
              </w:rPr>
              <w:t xml:space="preserve"> </w:t>
            </w:r>
            <w:r w:rsidRPr="0071415F">
              <w:rPr>
                <w:rStyle w:val="SUBST"/>
                <w:bCs/>
                <w:i w:val="0"/>
                <w:iCs/>
                <w:szCs w:val="22"/>
              </w:rPr>
              <w:t>размещаемых ценных бумаг не предусмотрено.</w:t>
            </w:r>
          </w:p>
          <w:p w:rsidR="004856F2" w:rsidRPr="0071415F" w:rsidRDefault="004856F2" w:rsidP="005E21AE">
            <w:pPr>
              <w:jc w:val="both"/>
              <w:rPr>
                <w:sz w:val="22"/>
                <w:szCs w:val="22"/>
              </w:rPr>
            </w:pPr>
            <w:r w:rsidRPr="0071415F">
              <w:rPr>
                <w:sz w:val="22"/>
                <w:szCs w:val="22"/>
              </w:rPr>
              <w:t xml:space="preserve">2.7. В случае, когда регистрация проспекта ценных бумаг осуществляется по усмотрению эмитента, – факт принятия эмитентом обязанности раскрывать информацию после каждого этапа процедуры эмиссии ценных бумаг: </w:t>
            </w:r>
            <w:r w:rsidRPr="0071415F">
              <w:rPr>
                <w:rFonts w:eastAsia="MS Mincho"/>
                <w:b/>
                <w:bCs/>
                <w:iCs/>
                <w:sz w:val="22"/>
                <w:szCs w:val="22"/>
                <w:lang w:eastAsia="ja-JP"/>
              </w:rPr>
              <w:t>Информация будет раскрываться в соответствии с требованиями Положения о раскрытии информации эмитентами эмиссионных ценных бумаг, утвержденного приказом ФСФР России от 04.10.2011 N 11-46/пз-н.</w:t>
            </w:r>
          </w:p>
        </w:tc>
      </w:tr>
    </w:tbl>
    <w:p w:rsidR="004856F2" w:rsidRPr="0071415F" w:rsidRDefault="004856F2" w:rsidP="009D58EB">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30"/>
        <w:gridCol w:w="448"/>
        <w:gridCol w:w="293"/>
        <w:gridCol w:w="1318"/>
        <w:gridCol w:w="415"/>
        <w:gridCol w:w="307"/>
        <w:gridCol w:w="412"/>
        <w:gridCol w:w="1984"/>
        <w:gridCol w:w="851"/>
        <w:gridCol w:w="2551"/>
        <w:gridCol w:w="142"/>
      </w:tblGrid>
      <w:tr w:rsidR="004856F2" w:rsidRPr="0071415F">
        <w:trPr>
          <w:cantSplit/>
        </w:trPr>
        <w:tc>
          <w:tcPr>
            <w:tcW w:w="9951" w:type="dxa"/>
            <w:gridSpan w:val="11"/>
          </w:tcPr>
          <w:p w:rsidR="004856F2" w:rsidRPr="0071415F" w:rsidRDefault="004856F2" w:rsidP="00A96C37">
            <w:pPr>
              <w:jc w:val="center"/>
              <w:rPr>
                <w:sz w:val="22"/>
                <w:szCs w:val="22"/>
              </w:rPr>
            </w:pPr>
            <w:r w:rsidRPr="0071415F">
              <w:rPr>
                <w:sz w:val="22"/>
                <w:szCs w:val="22"/>
              </w:rPr>
              <w:t>3. Подпись</w:t>
            </w:r>
          </w:p>
        </w:tc>
      </w:tr>
      <w:tr w:rsidR="004856F2"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single" w:sz="4" w:space="0" w:color="auto"/>
              <w:left w:val="single" w:sz="4" w:space="0" w:color="auto"/>
              <w:bottom w:val="nil"/>
              <w:right w:val="nil"/>
            </w:tcBorders>
            <w:vAlign w:val="bottom"/>
          </w:tcPr>
          <w:p w:rsidR="004856F2" w:rsidRPr="0071415F" w:rsidRDefault="004856F2" w:rsidP="008561AD">
            <w:pPr>
              <w:ind w:left="57"/>
              <w:rPr>
                <w:sz w:val="22"/>
                <w:szCs w:val="22"/>
              </w:rPr>
            </w:pPr>
            <w:r w:rsidRPr="0071415F">
              <w:rPr>
                <w:sz w:val="22"/>
                <w:szCs w:val="22"/>
              </w:rPr>
              <w:t xml:space="preserve">3.1. </w:t>
            </w:r>
            <w:r w:rsidRPr="0027454E">
              <w:rPr>
                <w:rFonts w:eastAsia="SimSun"/>
                <w:sz w:val="22"/>
                <w:szCs w:val="22"/>
              </w:rPr>
              <w:t>Генеральный директор О</w:t>
            </w:r>
            <w:r>
              <w:rPr>
                <w:rFonts w:eastAsia="SimSun"/>
                <w:sz w:val="22"/>
                <w:szCs w:val="22"/>
              </w:rPr>
              <w:t>О</w:t>
            </w:r>
            <w:r w:rsidRPr="0027454E">
              <w:rPr>
                <w:rFonts w:eastAsia="SimSun"/>
                <w:sz w:val="22"/>
                <w:szCs w:val="22"/>
              </w:rPr>
              <w:t>О «</w:t>
            </w:r>
            <w:r>
              <w:rPr>
                <w:rFonts w:eastAsia="SimSun"/>
                <w:sz w:val="22"/>
                <w:szCs w:val="22"/>
              </w:rPr>
              <w:t>Лента</w:t>
            </w:r>
            <w:r w:rsidRPr="0027454E">
              <w:rPr>
                <w:rFonts w:eastAsia="SimSun"/>
                <w:sz w:val="22"/>
                <w:szCs w:val="22"/>
              </w:rPr>
              <w:t>»</w:t>
            </w:r>
            <w:r w:rsidRPr="0027454E">
              <w:rPr>
                <w:sz w:val="22"/>
                <w:szCs w:val="22"/>
              </w:rPr>
              <w:t xml:space="preserve">                                               </w:t>
            </w:r>
          </w:p>
        </w:tc>
        <w:tc>
          <w:tcPr>
            <w:tcW w:w="1984" w:type="dxa"/>
            <w:tcBorders>
              <w:top w:val="single" w:sz="4" w:space="0" w:color="auto"/>
              <w:left w:val="nil"/>
              <w:bottom w:val="single" w:sz="4" w:space="0" w:color="auto"/>
              <w:right w:val="nil"/>
            </w:tcBorders>
            <w:vAlign w:val="bottom"/>
          </w:tcPr>
          <w:p w:rsidR="004856F2" w:rsidRPr="0071415F" w:rsidRDefault="004856F2" w:rsidP="009D58EB">
            <w:pPr>
              <w:jc w:val="both"/>
              <w:rPr>
                <w:sz w:val="22"/>
                <w:szCs w:val="22"/>
              </w:rPr>
            </w:pPr>
          </w:p>
        </w:tc>
        <w:tc>
          <w:tcPr>
            <w:tcW w:w="851" w:type="dxa"/>
            <w:tcBorders>
              <w:top w:val="single" w:sz="4" w:space="0" w:color="auto"/>
              <w:left w:val="nil"/>
              <w:bottom w:val="nil"/>
              <w:right w:val="nil"/>
            </w:tcBorders>
            <w:vAlign w:val="bottom"/>
          </w:tcPr>
          <w:p w:rsidR="004856F2" w:rsidRPr="0071415F" w:rsidRDefault="004856F2" w:rsidP="009D58EB">
            <w:pPr>
              <w:jc w:val="both"/>
              <w:rPr>
                <w:sz w:val="22"/>
                <w:szCs w:val="22"/>
              </w:rPr>
            </w:pPr>
          </w:p>
        </w:tc>
        <w:tc>
          <w:tcPr>
            <w:tcW w:w="2551" w:type="dxa"/>
            <w:tcBorders>
              <w:top w:val="single" w:sz="4" w:space="0" w:color="auto"/>
              <w:left w:val="nil"/>
              <w:bottom w:val="nil"/>
              <w:right w:val="nil"/>
            </w:tcBorders>
            <w:vAlign w:val="bottom"/>
          </w:tcPr>
          <w:p w:rsidR="004856F2" w:rsidRPr="0071415F" w:rsidRDefault="004856F2" w:rsidP="0027398A">
            <w:pPr>
              <w:jc w:val="center"/>
              <w:rPr>
                <w:sz w:val="22"/>
                <w:szCs w:val="22"/>
              </w:rPr>
            </w:pPr>
            <w:r>
              <w:rPr>
                <w:sz w:val="22"/>
                <w:szCs w:val="22"/>
              </w:rPr>
              <w:t>Я</w:t>
            </w:r>
            <w:r w:rsidRPr="00D14F2F">
              <w:rPr>
                <w:sz w:val="22"/>
                <w:szCs w:val="22"/>
              </w:rPr>
              <w:t>.</w:t>
            </w:r>
            <w:r>
              <w:rPr>
                <w:sz w:val="22"/>
                <w:szCs w:val="22"/>
              </w:rPr>
              <w:t>Г</w:t>
            </w:r>
            <w:r w:rsidRPr="00D14F2F">
              <w:rPr>
                <w:sz w:val="22"/>
                <w:szCs w:val="22"/>
              </w:rPr>
              <w:t>.</w:t>
            </w:r>
            <w:r>
              <w:rPr>
                <w:sz w:val="22"/>
                <w:szCs w:val="22"/>
              </w:rPr>
              <w:t>Дюннинг</w:t>
            </w:r>
          </w:p>
        </w:tc>
        <w:tc>
          <w:tcPr>
            <w:tcW w:w="142" w:type="dxa"/>
            <w:tcBorders>
              <w:top w:val="single" w:sz="4" w:space="0" w:color="auto"/>
              <w:left w:val="nil"/>
              <w:bottom w:val="nil"/>
              <w:right w:val="single" w:sz="4" w:space="0" w:color="auto"/>
            </w:tcBorders>
            <w:vAlign w:val="bottom"/>
          </w:tcPr>
          <w:p w:rsidR="004856F2" w:rsidRPr="0071415F" w:rsidRDefault="004856F2" w:rsidP="009D58EB">
            <w:pPr>
              <w:jc w:val="both"/>
              <w:rPr>
                <w:sz w:val="22"/>
                <w:szCs w:val="22"/>
              </w:rPr>
            </w:pPr>
          </w:p>
        </w:tc>
      </w:tr>
      <w:tr w:rsidR="004856F2"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nil"/>
              <w:right w:val="nil"/>
            </w:tcBorders>
          </w:tcPr>
          <w:p w:rsidR="004856F2" w:rsidRPr="0071415F" w:rsidRDefault="004856F2" w:rsidP="009D58EB">
            <w:pPr>
              <w:ind w:left="57"/>
              <w:jc w:val="both"/>
              <w:rPr>
                <w:sz w:val="22"/>
                <w:szCs w:val="22"/>
              </w:rPr>
            </w:pPr>
          </w:p>
        </w:tc>
        <w:tc>
          <w:tcPr>
            <w:tcW w:w="1984" w:type="dxa"/>
            <w:tcBorders>
              <w:top w:val="nil"/>
              <w:left w:val="nil"/>
              <w:bottom w:val="nil"/>
              <w:right w:val="nil"/>
            </w:tcBorders>
          </w:tcPr>
          <w:p w:rsidR="004856F2" w:rsidRPr="0071415F" w:rsidRDefault="004856F2" w:rsidP="008561AD">
            <w:pPr>
              <w:jc w:val="center"/>
              <w:rPr>
                <w:sz w:val="22"/>
                <w:szCs w:val="22"/>
              </w:rPr>
            </w:pPr>
            <w:r w:rsidRPr="0071415F">
              <w:rPr>
                <w:sz w:val="22"/>
                <w:szCs w:val="22"/>
              </w:rPr>
              <w:t>(подпись)</w:t>
            </w:r>
          </w:p>
        </w:tc>
        <w:tc>
          <w:tcPr>
            <w:tcW w:w="851" w:type="dxa"/>
            <w:tcBorders>
              <w:top w:val="nil"/>
              <w:left w:val="nil"/>
              <w:bottom w:val="nil"/>
              <w:right w:val="nil"/>
            </w:tcBorders>
          </w:tcPr>
          <w:p w:rsidR="004856F2" w:rsidRPr="0071415F" w:rsidRDefault="004856F2" w:rsidP="009D58EB">
            <w:pPr>
              <w:jc w:val="both"/>
              <w:rPr>
                <w:sz w:val="22"/>
                <w:szCs w:val="22"/>
              </w:rPr>
            </w:pPr>
          </w:p>
        </w:tc>
        <w:tc>
          <w:tcPr>
            <w:tcW w:w="2551" w:type="dxa"/>
            <w:tcBorders>
              <w:top w:val="nil"/>
              <w:left w:val="nil"/>
              <w:bottom w:val="nil"/>
              <w:right w:val="nil"/>
            </w:tcBorders>
          </w:tcPr>
          <w:p w:rsidR="004856F2" w:rsidRPr="0071415F" w:rsidRDefault="004856F2" w:rsidP="009D58EB">
            <w:pPr>
              <w:jc w:val="both"/>
              <w:rPr>
                <w:sz w:val="22"/>
                <w:szCs w:val="22"/>
              </w:rPr>
            </w:pPr>
          </w:p>
        </w:tc>
        <w:tc>
          <w:tcPr>
            <w:tcW w:w="142" w:type="dxa"/>
            <w:tcBorders>
              <w:top w:val="nil"/>
              <w:left w:val="nil"/>
              <w:bottom w:val="nil"/>
              <w:right w:val="single" w:sz="4" w:space="0" w:color="auto"/>
            </w:tcBorders>
          </w:tcPr>
          <w:p w:rsidR="004856F2" w:rsidRPr="0071415F" w:rsidRDefault="004856F2" w:rsidP="009D58EB">
            <w:pPr>
              <w:jc w:val="both"/>
              <w:rPr>
                <w:sz w:val="22"/>
                <w:szCs w:val="22"/>
              </w:rPr>
            </w:pPr>
          </w:p>
        </w:tc>
      </w:tr>
      <w:tr w:rsidR="004856F2"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1230" w:type="dxa"/>
            <w:tcBorders>
              <w:top w:val="nil"/>
              <w:left w:val="single" w:sz="4" w:space="0" w:color="auto"/>
              <w:bottom w:val="nil"/>
              <w:right w:val="nil"/>
            </w:tcBorders>
            <w:vAlign w:val="bottom"/>
          </w:tcPr>
          <w:p w:rsidR="004856F2" w:rsidRPr="0071415F" w:rsidRDefault="004856F2" w:rsidP="009D58EB">
            <w:pPr>
              <w:ind w:left="57"/>
              <w:jc w:val="both"/>
              <w:rPr>
                <w:sz w:val="22"/>
                <w:szCs w:val="22"/>
              </w:rPr>
            </w:pPr>
            <w:r w:rsidRPr="0071415F">
              <w:rPr>
                <w:sz w:val="22"/>
                <w:szCs w:val="22"/>
              </w:rPr>
              <w:t>3.2. Дата “</w:t>
            </w:r>
          </w:p>
        </w:tc>
        <w:tc>
          <w:tcPr>
            <w:tcW w:w="448" w:type="dxa"/>
            <w:tcBorders>
              <w:top w:val="nil"/>
              <w:left w:val="nil"/>
              <w:bottom w:val="single" w:sz="4" w:space="0" w:color="auto"/>
              <w:right w:val="nil"/>
            </w:tcBorders>
            <w:vAlign w:val="bottom"/>
          </w:tcPr>
          <w:p w:rsidR="004856F2" w:rsidRPr="0071415F" w:rsidRDefault="004856F2" w:rsidP="009D58EB">
            <w:pPr>
              <w:jc w:val="both"/>
              <w:rPr>
                <w:sz w:val="22"/>
                <w:szCs w:val="22"/>
              </w:rPr>
            </w:pPr>
            <w:r>
              <w:rPr>
                <w:sz w:val="22"/>
                <w:szCs w:val="22"/>
              </w:rPr>
              <w:t>28</w:t>
            </w:r>
          </w:p>
        </w:tc>
        <w:tc>
          <w:tcPr>
            <w:tcW w:w="293" w:type="dxa"/>
            <w:tcBorders>
              <w:top w:val="nil"/>
              <w:left w:val="nil"/>
              <w:bottom w:val="nil"/>
              <w:right w:val="nil"/>
            </w:tcBorders>
            <w:vAlign w:val="bottom"/>
          </w:tcPr>
          <w:p w:rsidR="004856F2" w:rsidRPr="0071415F" w:rsidRDefault="004856F2" w:rsidP="009D58EB">
            <w:pPr>
              <w:jc w:val="both"/>
              <w:rPr>
                <w:sz w:val="22"/>
                <w:szCs w:val="22"/>
              </w:rPr>
            </w:pPr>
            <w:r w:rsidRPr="0071415F">
              <w:rPr>
                <w:sz w:val="22"/>
                <w:szCs w:val="22"/>
              </w:rPr>
              <w:t>”</w:t>
            </w:r>
          </w:p>
        </w:tc>
        <w:tc>
          <w:tcPr>
            <w:tcW w:w="1318" w:type="dxa"/>
            <w:tcBorders>
              <w:top w:val="nil"/>
              <w:left w:val="nil"/>
              <w:bottom w:val="single" w:sz="4" w:space="0" w:color="auto"/>
              <w:right w:val="nil"/>
            </w:tcBorders>
            <w:vAlign w:val="bottom"/>
          </w:tcPr>
          <w:p w:rsidR="004856F2" w:rsidRPr="0071415F" w:rsidRDefault="004856F2" w:rsidP="00B4475F">
            <w:pPr>
              <w:jc w:val="center"/>
              <w:rPr>
                <w:sz w:val="22"/>
                <w:szCs w:val="22"/>
              </w:rPr>
            </w:pPr>
            <w:r>
              <w:rPr>
                <w:sz w:val="22"/>
                <w:szCs w:val="22"/>
              </w:rPr>
              <w:t>июня</w:t>
            </w:r>
          </w:p>
        </w:tc>
        <w:tc>
          <w:tcPr>
            <w:tcW w:w="415" w:type="dxa"/>
            <w:tcBorders>
              <w:top w:val="nil"/>
              <w:left w:val="nil"/>
              <w:bottom w:val="nil"/>
              <w:right w:val="nil"/>
            </w:tcBorders>
            <w:vAlign w:val="bottom"/>
          </w:tcPr>
          <w:p w:rsidR="004856F2" w:rsidRPr="0071415F" w:rsidRDefault="004856F2" w:rsidP="009D58EB">
            <w:pPr>
              <w:jc w:val="both"/>
              <w:rPr>
                <w:sz w:val="22"/>
                <w:szCs w:val="22"/>
              </w:rPr>
            </w:pPr>
            <w:r w:rsidRPr="0071415F">
              <w:rPr>
                <w:sz w:val="22"/>
                <w:szCs w:val="22"/>
              </w:rPr>
              <w:t>20</w:t>
            </w:r>
          </w:p>
        </w:tc>
        <w:tc>
          <w:tcPr>
            <w:tcW w:w="307" w:type="dxa"/>
            <w:tcBorders>
              <w:top w:val="nil"/>
              <w:left w:val="nil"/>
              <w:bottom w:val="single" w:sz="4" w:space="0" w:color="auto"/>
              <w:right w:val="nil"/>
            </w:tcBorders>
            <w:vAlign w:val="bottom"/>
          </w:tcPr>
          <w:p w:rsidR="004856F2" w:rsidRPr="0071415F" w:rsidRDefault="004856F2" w:rsidP="009D58EB">
            <w:pPr>
              <w:jc w:val="both"/>
              <w:rPr>
                <w:sz w:val="22"/>
                <w:szCs w:val="22"/>
                <w:lang w:val="en-US"/>
              </w:rPr>
            </w:pPr>
            <w:r w:rsidRPr="0071415F">
              <w:rPr>
                <w:sz w:val="22"/>
                <w:szCs w:val="22"/>
              </w:rPr>
              <w:t>13</w:t>
            </w:r>
          </w:p>
        </w:tc>
        <w:tc>
          <w:tcPr>
            <w:tcW w:w="412" w:type="dxa"/>
            <w:tcBorders>
              <w:top w:val="nil"/>
              <w:left w:val="nil"/>
              <w:bottom w:val="nil"/>
              <w:right w:val="nil"/>
            </w:tcBorders>
            <w:vAlign w:val="bottom"/>
          </w:tcPr>
          <w:p w:rsidR="004856F2" w:rsidRPr="0071415F" w:rsidRDefault="004856F2" w:rsidP="009D58EB">
            <w:pPr>
              <w:ind w:left="57"/>
              <w:jc w:val="both"/>
              <w:rPr>
                <w:sz w:val="22"/>
                <w:szCs w:val="22"/>
              </w:rPr>
            </w:pPr>
            <w:r w:rsidRPr="0071415F">
              <w:rPr>
                <w:sz w:val="22"/>
                <w:szCs w:val="22"/>
              </w:rPr>
              <w:t>г.</w:t>
            </w:r>
          </w:p>
        </w:tc>
        <w:tc>
          <w:tcPr>
            <w:tcW w:w="1984" w:type="dxa"/>
            <w:tcBorders>
              <w:top w:val="nil"/>
              <w:left w:val="nil"/>
              <w:bottom w:val="nil"/>
              <w:right w:val="nil"/>
            </w:tcBorders>
            <w:vAlign w:val="bottom"/>
          </w:tcPr>
          <w:p w:rsidR="004856F2" w:rsidRPr="0071415F" w:rsidRDefault="004856F2" w:rsidP="00A96C37">
            <w:pPr>
              <w:jc w:val="center"/>
              <w:rPr>
                <w:sz w:val="22"/>
                <w:szCs w:val="22"/>
              </w:rPr>
            </w:pPr>
            <w:r w:rsidRPr="0071415F">
              <w:rPr>
                <w:sz w:val="22"/>
                <w:szCs w:val="22"/>
              </w:rPr>
              <w:t>М.П.</w:t>
            </w:r>
          </w:p>
        </w:tc>
        <w:tc>
          <w:tcPr>
            <w:tcW w:w="3544" w:type="dxa"/>
            <w:gridSpan w:val="3"/>
            <w:tcBorders>
              <w:top w:val="nil"/>
              <w:left w:val="nil"/>
              <w:bottom w:val="nil"/>
              <w:right w:val="single" w:sz="4" w:space="0" w:color="auto"/>
            </w:tcBorders>
            <w:vAlign w:val="bottom"/>
          </w:tcPr>
          <w:p w:rsidR="004856F2" w:rsidRPr="0071415F" w:rsidRDefault="004856F2" w:rsidP="009D58EB">
            <w:pPr>
              <w:jc w:val="both"/>
              <w:rPr>
                <w:sz w:val="22"/>
                <w:szCs w:val="22"/>
              </w:rPr>
            </w:pPr>
          </w:p>
        </w:tc>
      </w:tr>
      <w:tr w:rsidR="004856F2" w:rsidRPr="0071415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4423" w:type="dxa"/>
            <w:gridSpan w:val="7"/>
            <w:tcBorders>
              <w:top w:val="nil"/>
              <w:left w:val="single" w:sz="4" w:space="0" w:color="auto"/>
              <w:bottom w:val="single" w:sz="4" w:space="0" w:color="auto"/>
              <w:right w:val="nil"/>
            </w:tcBorders>
          </w:tcPr>
          <w:p w:rsidR="004856F2" w:rsidRPr="0071415F" w:rsidRDefault="004856F2" w:rsidP="009D58EB">
            <w:pPr>
              <w:ind w:left="57"/>
              <w:jc w:val="both"/>
              <w:rPr>
                <w:sz w:val="22"/>
                <w:szCs w:val="22"/>
              </w:rPr>
            </w:pPr>
          </w:p>
        </w:tc>
        <w:tc>
          <w:tcPr>
            <w:tcW w:w="1984" w:type="dxa"/>
            <w:tcBorders>
              <w:top w:val="nil"/>
              <w:left w:val="nil"/>
              <w:bottom w:val="single" w:sz="4" w:space="0" w:color="auto"/>
              <w:right w:val="nil"/>
            </w:tcBorders>
          </w:tcPr>
          <w:p w:rsidR="004856F2" w:rsidRPr="0071415F" w:rsidRDefault="004856F2" w:rsidP="009D58EB">
            <w:pPr>
              <w:jc w:val="both"/>
              <w:rPr>
                <w:sz w:val="22"/>
                <w:szCs w:val="22"/>
              </w:rPr>
            </w:pPr>
          </w:p>
        </w:tc>
        <w:tc>
          <w:tcPr>
            <w:tcW w:w="3544" w:type="dxa"/>
            <w:gridSpan w:val="3"/>
            <w:tcBorders>
              <w:top w:val="nil"/>
              <w:left w:val="nil"/>
              <w:bottom w:val="single" w:sz="4" w:space="0" w:color="auto"/>
              <w:right w:val="single" w:sz="4" w:space="0" w:color="auto"/>
            </w:tcBorders>
          </w:tcPr>
          <w:p w:rsidR="004856F2" w:rsidRPr="0071415F" w:rsidRDefault="004856F2" w:rsidP="009D58EB">
            <w:pPr>
              <w:jc w:val="both"/>
              <w:rPr>
                <w:sz w:val="22"/>
                <w:szCs w:val="22"/>
              </w:rPr>
            </w:pPr>
          </w:p>
        </w:tc>
      </w:tr>
    </w:tbl>
    <w:p w:rsidR="004856F2" w:rsidRPr="0071415F" w:rsidRDefault="004856F2" w:rsidP="009D58EB">
      <w:pPr>
        <w:jc w:val="both"/>
        <w:rPr>
          <w:sz w:val="22"/>
          <w:szCs w:val="22"/>
        </w:rPr>
      </w:pPr>
    </w:p>
    <w:sectPr w:rsidR="004856F2" w:rsidRPr="0071415F" w:rsidSect="008D1BEF">
      <w:footerReference w:type="even" r:id="rId8"/>
      <w:footerReference w:type="default" r:id="rId9"/>
      <w:pgSz w:w="11906" w:h="16838"/>
      <w:pgMar w:top="851" w:right="851" w:bottom="567" w:left="1134" w:header="397" w:footer="397" w:gutter="0"/>
      <w:cols w:space="7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6F2" w:rsidRDefault="004856F2">
      <w:r>
        <w:separator/>
      </w:r>
    </w:p>
  </w:endnote>
  <w:endnote w:type="continuationSeparator" w:id="0">
    <w:p w:rsidR="004856F2" w:rsidRDefault="004856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Tahoma">
    <w:altName w:val="Device Font 10cpi"/>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Verdana">
    <w:altName w:val="Tahom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 w:name="MS Mincho">
    <w:altName w:val="‚l‚r –?’©"/>
    <w:panose1 w:val="02020609040205080304"/>
    <w:charset w:val="80"/>
    <w:family w:val="modern"/>
    <w:pitch w:val="fixed"/>
    <w:sig w:usb0="E00002FF" w:usb1="6AC7FDFB" w:usb2="00000012" w:usb3="00000000" w:csb0="0002009F" w:csb1="00000000"/>
  </w:font>
  <w:font w:name="SimSun">
    <w:altName w:val="????"/>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2" w:rsidRDefault="004856F2"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rsidR="004856F2" w:rsidRDefault="004856F2" w:rsidP="00527452">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56F2" w:rsidRDefault="004856F2" w:rsidP="0052745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separate"/>
    </w:r>
    <w:r w:rsidR="002379F6">
      <w:rPr>
        <w:rStyle w:val="af2"/>
        <w:noProof/>
      </w:rPr>
      <w:t>1</w:t>
    </w:r>
    <w:r>
      <w:rPr>
        <w:rStyle w:val="af2"/>
      </w:rPr>
      <w:fldChar w:fldCharType="end"/>
    </w:r>
  </w:p>
  <w:p w:rsidR="004856F2" w:rsidRDefault="004856F2" w:rsidP="00527452">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6F2" w:rsidRDefault="004856F2">
      <w:r>
        <w:separator/>
      </w:r>
    </w:p>
  </w:footnote>
  <w:footnote w:type="continuationSeparator" w:id="0">
    <w:p w:rsidR="004856F2" w:rsidRDefault="004856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A517A6"/>
    <w:multiLevelType w:val="singleLevel"/>
    <w:tmpl w:val="FCAC1FA6"/>
    <w:lvl w:ilvl="0">
      <w:start w:val="1"/>
      <w:numFmt w:val="decimal"/>
      <w:lvlText w:val="%1."/>
      <w:legacy w:legacy="1" w:legacySpace="170" w:legacyIndent="397"/>
      <w:lvlJc w:val="left"/>
      <w:rPr>
        <w:rFonts w:ascii="Times New Roman" w:hAnsi="Times New Roman" w:cs="Times New Roman" w:hint="default"/>
        <w:b w:val="0"/>
        <w:i w:val="0"/>
        <w:sz w:val="28"/>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0AA8"/>
    <w:rsid w:val="0002425D"/>
    <w:rsid w:val="00024BA0"/>
    <w:rsid w:val="00026E05"/>
    <w:rsid w:val="00033114"/>
    <w:rsid w:val="00040C6B"/>
    <w:rsid w:val="000440F7"/>
    <w:rsid w:val="00044ECB"/>
    <w:rsid w:val="00046464"/>
    <w:rsid w:val="000518AC"/>
    <w:rsid w:val="00084AB9"/>
    <w:rsid w:val="00087EA0"/>
    <w:rsid w:val="000C5796"/>
    <w:rsid w:val="000C7992"/>
    <w:rsid w:val="000D4BEA"/>
    <w:rsid w:val="000D6D9B"/>
    <w:rsid w:val="000F1BFE"/>
    <w:rsid w:val="000F1DEA"/>
    <w:rsid w:val="000F4687"/>
    <w:rsid w:val="000F6086"/>
    <w:rsid w:val="000F6D11"/>
    <w:rsid w:val="000F70F0"/>
    <w:rsid w:val="00106B25"/>
    <w:rsid w:val="00120208"/>
    <w:rsid w:val="00121529"/>
    <w:rsid w:val="00122D26"/>
    <w:rsid w:val="00123503"/>
    <w:rsid w:val="00125997"/>
    <w:rsid w:val="001422AE"/>
    <w:rsid w:val="00152D89"/>
    <w:rsid w:val="00155062"/>
    <w:rsid w:val="0016311C"/>
    <w:rsid w:val="00174DDB"/>
    <w:rsid w:val="00181FBF"/>
    <w:rsid w:val="00183D54"/>
    <w:rsid w:val="001907D3"/>
    <w:rsid w:val="001A00A1"/>
    <w:rsid w:val="001C01B9"/>
    <w:rsid w:val="001D6E88"/>
    <w:rsid w:val="001D75E2"/>
    <w:rsid w:val="001E230B"/>
    <w:rsid w:val="001E311C"/>
    <w:rsid w:val="001F717E"/>
    <w:rsid w:val="002144C6"/>
    <w:rsid w:val="00216D9B"/>
    <w:rsid w:val="002240BD"/>
    <w:rsid w:val="0022545C"/>
    <w:rsid w:val="00230D19"/>
    <w:rsid w:val="002379F6"/>
    <w:rsid w:val="0027398A"/>
    <w:rsid w:val="0027454E"/>
    <w:rsid w:val="002818E9"/>
    <w:rsid w:val="00290D21"/>
    <w:rsid w:val="002A21C3"/>
    <w:rsid w:val="002A2773"/>
    <w:rsid w:val="002A3D73"/>
    <w:rsid w:val="002A5BE3"/>
    <w:rsid w:val="002D4433"/>
    <w:rsid w:val="002E5FA4"/>
    <w:rsid w:val="002F5F44"/>
    <w:rsid w:val="00300314"/>
    <w:rsid w:val="00303898"/>
    <w:rsid w:val="003254B4"/>
    <w:rsid w:val="0033775E"/>
    <w:rsid w:val="003432CF"/>
    <w:rsid w:val="00344E00"/>
    <w:rsid w:val="0035575C"/>
    <w:rsid w:val="00365F3F"/>
    <w:rsid w:val="00391698"/>
    <w:rsid w:val="003948F9"/>
    <w:rsid w:val="003B4CAC"/>
    <w:rsid w:val="003B7DBC"/>
    <w:rsid w:val="003C4CF3"/>
    <w:rsid w:val="003C76D7"/>
    <w:rsid w:val="003F678D"/>
    <w:rsid w:val="00402215"/>
    <w:rsid w:val="004042C3"/>
    <w:rsid w:val="0040607A"/>
    <w:rsid w:val="00413DBB"/>
    <w:rsid w:val="004228BF"/>
    <w:rsid w:val="004243CD"/>
    <w:rsid w:val="00424AAF"/>
    <w:rsid w:val="00424E9A"/>
    <w:rsid w:val="00435416"/>
    <w:rsid w:val="00435444"/>
    <w:rsid w:val="004401A0"/>
    <w:rsid w:val="00450AB6"/>
    <w:rsid w:val="004856F2"/>
    <w:rsid w:val="004A7488"/>
    <w:rsid w:val="004F6D70"/>
    <w:rsid w:val="005062C3"/>
    <w:rsid w:val="00517370"/>
    <w:rsid w:val="00521CC6"/>
    <w:rsid w:val="00527452"/>
    <w:rsid w:val="005304B9"/>
    <w:rsid w:val="00540076"/>
    <w:rsid w:val="00560E31"/>
    <w:rsid w:val="00567D18"/>
    <w:rsid w:val="00572C77"/>
    <w:rsid w:val="00590E4D"/>
    <w:rsid w:val="0059383A"/>
    <w:rsid w:val="00595C9D"/>
    <w:rsid w:val="00597146"/>
    <w:rsid w:val="005B49BD"/>
    <w:rsid w:val="005C446E"/>
    <w:rsid w:val="005C7BA3"/>
    <w:rsid w:val="005D1DDB"/>
    <w:rsid w:val="005D52A7"/>
    <w:rsid w:val="005D7A88"/>
    <w:rsid w:val="005E21AE"/>
    <w:rsid w:val="005E2956"/>
    <w:rsid w:val="005F7964"/>
    <w:rsid w:val="0061713E"/>
    <w:rsid w:val="006218AC"/>
    <w:rsid w:val="0062501C"/>
    <w:rsid w:val="00661AE1"/>
    <w:rsid w:val="0067192B"/>
    <w:rsid w:val="00685687"/>
    <w:rsid w:val="00686194"/>
    <w:rsid w:val="0068769F"/>
    <w:rsid w:val="00690741"/>
    <w:rsid w:val="00690BFC"/>
    <w:rsid w:val="006B579B"/>
    <w:rsid w:val="006B643E"/>
    <w:rsid w:val="006C4D0D"/>
    <w:rsid w:val="006D2D16"/>
    <w:rsid w:val="006D7F9B"/>
    <w:rsid w:val="0071415F"/>
    <w:rsid w:val="007260D2"/>
    <w:rsid w:val="00734224"/>
    <w:rsid w:val="0073777C"/>
    <w:rsid w:val="007529B3"/>
    <w:rsid w:val="00765A07"/>
    <w:rsid w:val="007D393A"/>
    <w:rsid w:val="007D6CEF"/>
    <w:rsid w:val="007E1BE6"/>
    <w:rsid w:val="007F1E14"/>
    <w:rsid w:val="007F1E25"/>
    <w:rsid w:val="00814AB6"/>
    <w:rsid w:val="00816799"/>
    <w:rsid w:val="00824C4E"/>
    <w:rsid w:val="0082537A"/>
    <w:rsid w:val="00830868"/>
    <w:rsid w:val="008421C1"/>
    <w:rsid w:val="008454DD"/>
    <w:rsid w:val="008561AD"/>
    <w:rsid w:val="00861726"/>
    <w:rsid w:val="008771E3"/>
    <w:rsid w:val="00884288"/>
    <w:rsid w:val="008B384C"/>
    <w:rsid w:val="008B6293"/>
    <w:rsid w:val="008D1BEF"/>
    <w:rsid w:val="008D43E7"/>
    <w:rsid w:val="008D5E85"/>
    <w:rsid w:val="008D7374"/>
    <w:rsid w:val="00906574"/>
    <w:rsid w:val="009142C8"/>
    <w:rsid w:val="009276F6"/>
    <w:rsid w:val="00987641"/>
    <w:rsid w:val="009945E6"/>
    <w:rsid w:val="009D58EB"/>
    <w:rsid w:val="009E4985"/>
    <w:rsid w:val="009E64A8"/>
    <w:rsid w:val="009F0ACC"/>
    <w:rsid w:val="009F421A"/>
    <w:rsid w:val="009F6075"/>
    <w:rsid w:val="00A0703B"/>
    <w:rsid w:val="00A113A0"/>
    <w:rsid w:val="00A151B8"/>
    <w:rsid w:val="00A15924"/>
    <w:rsid w:val="00A176A4"/>
    <w:rsid w:val="00A23ABE"/>
    <w:rsid w:val="00A31C63"/>
    <w:rsid w:val="00A626D3"/>
    <w:rsid w:val="00A65AEE"/>
    <w:rsid w:val="00A7216C"/>
    <w:rsid w:val="00A8056D"/>
    <w:rsid w:val="00A9444D"/>
    <w:rsid w:val="00A96C37"/>
    <w:rsid w:val="00AA5851"/>
    <w:rsid w:val="00AC7333"/>
    <w:rsid w:val="00AD1352"/>
    <w:rsid w:val="00AD6501"/>
    <w:rsid w:val="00AE7749"/>
    <w:rsid w:val="00AF05A2"/>
    <w:rsid w:val="00AF1F67"/>
    <w:rsid w:val="00AF5CAB"/>
    <w:rsid w:val="00AF631C"/>
    <w:rsid w:val="00B01A5C"/>
    <w:rsid w:val="00B03FBF"/>
    <w:rsid w:val="00B0797C"/>
    <w:rsid w:val="00B11964"/>
    <w:rsid w:val="00B30C93"/>
    <w:rsid w:val="00B328BF"/>
    <w:rsid w:val="00B44442"/>
    <w:rsid w:val="00B4475F"/>
    <w:rsid w:val="00B50AA8"/>
    <w:rsid w:val="00B54E22"/>
    <w:rsid w:val="00B56DE0"/>
    <w:rsid w:val="00B80431"/>
    <w:rsid w:val="00B86BF4"/>
    <w:rsid w:val="00BB64D9"/>
    <w:rsid w:val="00BD69B6"/>
    <w:rsid w:val="00BF17B0"/>
    <w:rsid w:val="00C0070F"/>
    <w:rsid w:val="00C06B04"/>
    <w:rsid w:val="00C117CF"/>
    <w:rsid w:val="00C16AF3"/>
    <w:rsid w:val="00C20726"/>
    <w:rsid w:val="00C26383"/>
    <w:rsid w:val="00C34248"/>
    <w:rsid w:val="00C365DE"/>
    <w:rsid w:val="00C40A99"/>
    <w:rsid w:val="00C42597"/>
    <w:rsid w:val="00C45191"/>
    <w:rsid w:val="00C72D3D"/>
    <w:rsid w:val="00CB132C"/>
    <w:rsid w:val="00CB693A"/>
    <w:rsid w:val="00CD022F"/>
    <w:rsid w:val="00CF7CE9"/>
    <w:rsid w:val="00D128D6"/>
    <w:rsid w:val="00D14F2F"/>
    <w:rsid w:val="00D169D0"/>
    <w:rsid w:val="00D36F52"/>
    <w:rsid w:val="00D45282"/>
    <w:rsid w:val="00D51780"/>
    <w:rsid w:val="00D52ACB"/>
    <w:rsid w:val="00D53DAC"/>
    <w:rsid w:val="00D664FE"/>
    <w:rsid w:val="00D80248"/>
    <w:rsid w:val="00D817E7"/>
    <w:rsid w:val="00D928B1"/>
    <w:rsid w:val="00DB08A3"/>
    <w:rsid w:val="00DB25EB"/>
    <w:rsid w:val="00DC0760"/>
    <w:rsid w:val="00DC6308"/>
    <w:rsid w:val="00DC6337"/>
    <w:rsid w:val="00DD199C"/>
    <w:rsid w:val="00DD27DF"/>
    <w:rsid w:val="00DD7FDC"/>
    <w:rsid w:val="00DF389C"/>
    <w:rsid w:val="00E007BE"/>
    <w:rsid w:val="00E0522D"/>
    <w:rsid w:val="00E10E70"/>
    <w:rsid w:val="00E14536"/>
    <w:rsid w:val="00E21BA6"/>
    <w:rsid w:val="00E33411"/>
    <w:rsid w:val="00E7151A"/>
    <w:rsid w:val="00E76589"/>
    <w:rsid w:val="00E80E1E"/>
    <w:rsid w:val="00E8216D"/>
    <w:rsid w:val="00E84AE1"/>
    <w:rsid w:val="00E9752B"/>
    <w:rsid w:val="00E97E01"/>
    <w:rsid w:val="00EA38E4"/>
    <w:rsid w:val="00EB17F2"/>
    <w:rsid w:val="00EC1696"/>
    <w:rsid w:val="00EC3725"/>
    <w:rsid w:val="00ED59D3"/>
    <w:rsid w:val="00EF72A7"/>
    <w:rsid w:val="00F02D9F"/>
    <w:rsid w:val="00F30949"/>
    <w:rsid w:val="00F41932"/>
    <w:rsid w:val="00F64DC7"/>
    <w:rsid w:val="00F71396"/>
    <w:rsid w:val="00F84B26"/>
    <w:rsid w:val="00F91960"/>
    <w:rsid w:val="00FA0039"/>
    <w:rsid w:val="00FA04B3"/>
    <w:rsid w:val="00FA2C8D"/>
    <w:rsid w:val="00FA5C8C"/>
    <w:rsid w:val="00FD11E5"/>
    <w:rsid w:val="00FE6293"/>
    <w:rsid w:val="00FE6D0F"/>
    <w:rsid w:val="00FF4F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1BEF"/>
    <w:pPr>
      <w:autoSpaceDE w:val="0"/>
      <w:autoSpaceDN w:val="0"/>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B579B"/>
    <w:pPr>
      <w:autoSpaceDE/>
      <w:autoSpaceDN/>
    </w:pPr>
    <w:rPr>
      <w:rFonts w:ascii="Tahoma" w:hAnsi="Tahoma" w:cs="Tahoma"/>
      <w:sz w:val="16"/>
      <w:szCs w:val="16"/>
    </w:rPr>
  </w:style>
  <w:style w:type="character" w:customStyle="1" w:styleId="a4">
    <w:name w:val="Текст выноски Знак"/>
    <w:basedOn w:val="a0"/>
    <w:link w:val="a3"/>
    <w:uiPriority w:val="99"/>
    <w:semiHidden/>
    <w:locked/>
    <w:rsid w:val="00C40A99"/>
    <w:rPr>
      <w:rFonts w:cs="Times New Roman"/>
      <w:sz w:val="2"/>
    </w:rPr>
  </w:style>
  <w:style w:type="paragraph" w:customStyle="1" w:styleId="ConsNonformat">
    <w:name w:val="ConsNonformat"/>
    <w:uiPriority w:val="99"/>
    <w:rsid w:val="008D1BEF"/>
    <w:pPr>
      <w:widowControl w:val="0"/>
      <w:autoSpaceDE w:val="0"/>
      <w:autoSpaceDN w:val="0"/>
      <w:jc w:val="both"/>
    </w:pPr>
    <w:rPr>
      <w:rFonts w:ascii="Courier New" w:hAnsi="Courier New" w:cs="Courier New"/>
      <w:sz w:val="20"/>
      <w:szCs w:val="20"/>
    </w:rPr>
  </w:style>
  <w:style w:type="paragraph" w:customStyle="1" w:styleId="ConsNormal">
    <w:name w:val="ConsNormal"/>
    <w:link w:val="ConsNormal0"/>
    <w:uiPriority w:val="99"/>
    <w:rsid w:val="008D1BEF"/>
    <w:pPr>
      <w:autoSpaceDE w:val="0"/>
      <w:autoSpaceDN w:val="0"/>
      <w:ind w:right="19771" w:firstLine="539"/>
      <w:jc w:val="both"/>
    </w:pPr>
    <w:rPr>
      <w:rFonts w:ascii="Courier New" w:hAnsi="Courier New"/>
      <w:lang w:val="en-US"/>
    </w:rPr>
  </w:style>
  <w:style w:type="paragraph" w:styleId="a5">
    <w:name w:val="header"/>
    <w:basedOn w:val="a"/>
    <w:link w:val="a6"/>
    <w:uiPriority w:val="99"/>
    <w:rsid w:val="008D1BEF"/>
    <w:pPr>
      <w:tabs>
        <w:tab w:val="center" w:pos="4153"/>
        <w:tab w:val="right" w:pos="8306"/>
      </w:tabs>
    </w:pPr>
  </w:style>
  <w:style w:type="character" w:customStyle="1" w:styleId="a6">
    <w:name w:val="Верхний колонтитул Знак"/>
    <w:basedOn w:val="a0"/>
    <w:link w:val="a5"/>
    <w:uiPriority w:val="99"/>
    <w:semiHidden/>
    <w:locked/>
    <w:rsid w:val="00C40A99"/>
    <w:rPr>
      <w:rFonts w:cs="Times New Roman"/>
      <w:sz w:val="20"/>
      <w:szCs w:val="20"/>
    </w:rPr>
  </w:style>
  <w:style w:type="paragraph" w:styleId="a7">
    <w:name w:val="footer"/>
    <w:basedOn w:val="a"/>
    <w:link w:val="a8"/>
    <w:uiPriority w:val="99"/>
    <w:rsid w:val="008D1BEF"/>
    <w:pPr>
      <w:tabs>
        <w:tab w:val="center" w:pos="4153"/>
        <w:tab w:val="right" w:pos="8306"/>
      </w:tabs>
    </w:pPr>
  </w:style>
  <w:style w:type="character" w:customStyle="1" w:styleId="a8">
    <w:name w:val="Нижний колонтитул Знак"/>
    <w:basedOn w:val="a0"/>
    <w:link w:val="a7"/>
    <w:uiPriority w:val="99"/>
    <w:semiHidden/>
    <w:locked/>
    <w:rsid w:val="00C40A99"/>
    <w:rPr>
      <w:rFonts w:cs="Times New Roman"/>
      <w:sz w:val="20"/>
      <w:szCs w:val="20"/>
    </w:rPr>
  </w:style>
  <w:style w:type="character" w:customStyle="1" w:styleId="-">
    <w:name w:val="Проспект -"/>
    <w:uiPriority w:val="99"/>
    <w:rsid w:val="002E5FA4"/>
    <w:rPr>
      <w:b/>
      <w:i/>
      <w:lang w:val="ru-RU"/>
    </w:rPr>
  </w:style>
  <w:style w:type="paragraph" w:styleId="3">
    <w:name w:val="Body Text Indent 3"/>
    <w:basedOn w:val="a"/>
    <w:link w:val="30"/>
    <w:uiPriority w:val="99"/>
    <w:rsid w:val="00B30C93"/>
    <w:pPr>
      <w:autoSpaceDE/>
      <w:autoSpaceDN/>
      <w:spacing w:after="120"/>
      <w:ind w:left="283"/>
    </w:pPr>
    <w:rPr>
      <w:sz w:val="16"/>
      <w:szCs w:val="16"/>
    </w:rPr>
  </w:style>
  <w:style w:type="character" w:customStyle="1" w:styleId="30">
    <w:name w:val="Основной текст с отступом 3 Знак"/>
    <w:basedOn w:val="a0"/>
    <w:link w:val="3"/>
    <w:uiPriority w:val="99"/>
    <w:locked/>
    <w:rsid w:val="0027398A"/>
    <w:rPr>
      <w:rFonts w:cs="Times New Roman"/>
      <w:sz w:val="16"/>
      <w:szCs w:val="16"/>
    </w:rPr>
  </w:style>
  <w:style w:type="character" w:customStyle="1" w:styleId="SUBST">
    <w:name w:val="__SUBST"/>
    <w:uiPriority w:val="99"/>
    <w:rsid w:val="002A21C3"/>
    <w:rPr>
      <w:b/>
      <w:i/>
      <w:sz w:val="22"/>
    </w:rPr>
  </w:style>
  <w:style w:type="paragraph" w:styleId="a9">
    <w:name w:val="Body Text"/>
    <w:basedOn w:val="a"/>
    <w:link w:val="aa"/>
    <w:uiPriority w:val="99"/>
    <w:rsid w:val="001422AE"/>
    <w:pPr>
      <w:spacing w:after="120"/>
    </w:pPr>
  </w:style>
  <w:style w:type="character" w:customStyle="1" w:styleId="aa">
    <w:name w:val="Основной текст Знак"/>
    <w:basedOn w:val="a0"/>
    <w:link w:val="a9"/>
    <w:uiPriority w:val="99"/>
    <w:semiHidden/>
    <w:locked/>
    <w:rsid w:val="00C40A99"/>
    <w:rPr>
      <w:rFonts w:cs="Times New Roman"/>
      <w:sz w:val="20"/>
      <w:szCs w:val="20"/>
    </w:rPr>
  </w:style>
  <w:style w:type="paragraph" w:styleId="31">
    <w:name w:val="Body Text 3"/>
    <w:basedOn w:val="a"/>
    <w:link w:val="32"/>
    <w:uiPriority w:val="99"/>
    <w:rsid w:val="001422AE"/>
    <w:pPr>
      <w:autoSpaceDE/>
      <w:autoSpaceDN/>
      <w:spacing w:after="120"/>
    </w:pPr>
    <w:rPr>
      <w:sz w:val="16"/>
      <w:szCs w:val="16"/>
    </w:rPr>
  </w:style>
  <w:style w:type="character" w:customStyle="1" w:styleId="32">
    <w:name w:val="Основной текст 3 Знак"/>
    <w:basedOn w:val="a0"/>
    <w:link w:val="31"/>
    <w:uiPriority w:val="99"/>
    <w:semiHidden/>
    <w:locked/>
    <w:rsid w:val="00C40A99"/>
    <w:rPr>
      <w:rFonts w:cs="Times New Roman"/>
      <w:sz w:val="16"/>
      <w:szCs w:val="16"/>
    </w:rPr>
  </w:style>
  <w:style w:type="paragraph" w:styleId="ab">
    <w:name w:val="List"/>
    <w:basedOn w:val="a"/>
    <w:uiPriority w:val="99"/>
    <w:rsid w:val="001422AE"/>
    <w:pPr>
      <w:overflowPunct w:val="0"/>
      <w:adjustRightInd w:val="0"/>
      <w:ind w:firstLine="737"/>
      <w:jc w:val="both"/>
      <w:textAlignment w:val="baseline"/>
    </w:pPr>
    <w:rPr>
      <w:sz w:val="28"/>
      <w:szCs w:val="28"/>
    </w:rPr>
  </w:style>
  <w:style w:type="table" w:styleId="ac">
    <w:name w:val="Table Grid"/>
    <w:basedOn w:val="a1"/>
    <w:uiPriority w:val="99"/>
    <w:rsid w:val="001422AE"/>
    <w:pPr>
      <w:autoSpaceDE w:val="0"/>
      <w:autoSpaceDN w:val="0"/>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Стиль Абзаца 1"/>
    <w:basedOn w:val="2"/>
    <w:uiPriority w:val="99"/>
    <w:rsid w:val="009D58EB"/>
    <w:pPr>
      <w:autoSpaceDE/>
      <w:autoSpaceDN/>
      <w:spacing w:before="120" w:after="0" w:line="240" w:lineRule="auto"/>
      <w:ind w:left="0" w:firstLine="851"/>
      <w:jc w:val="both"/>
    </w:pPr>
    <w:rPr>
      <w:sz w:val="24"/>
      <w:szCs w:val="24"/>
      <w:lang w:eastAsia="zh-CN"/>
    </w:rPr>
  </w:style>
  <w:style w:type="paragraph" w:styleId="2">
    <w:name w:val="Body Text Indent 2"/>
    <w:basedOn w:val="a"/>
    <w:link w:val="20"/>
    <w:uiPriority w:val="99"/>
    <w:rsid w:val="009D58EB"/>
    <w:pPr>
      <w:spacing w:after="120" w:line="480" w:lineRule="auto"/>
      <w:ind w:left="283"/>
    </w:pPr>
  </w:style>
  <w:style w:type="character" w:customStyle="1" w:styleId="20">
    <w:name w:val="Основной текст с отступом 2 Знак"/>
    <w:basedOn w:val="a0"/>
    <w:link w:val="2"/>
    <w:uiPriority w:val="99"/>
    <w:semiHidden/>
    <w:locked/>
    <w:rsid w:val="00C40A99"/>
    <w:rPr>
      <w:rFonts w:cs="Times New Roman"/>
      <w:sz w:val="20"/>
      <w:szCs w:val="20"/>
    </w:rPr>
  </w:style>
  <w:style w:type="paragraph" w:customStyle="1" w:styleId="CharChar">
    <w:name w:val="Char Char"/>
    <w:basedOn w:val="a"/>
    <w:uiPriority w:val="99"/>
    <w:rsid w:val="001A00A1"/>
    <w:pPr>
      <w:tabs>
        <w:tab w:val="num" w:pos="360"/>
      </w:tabs>
      <w:autoSpaceDE/>
      <w:autoSpaceDN/>
      <w:spacing w:after="160" w:line="240" w:lineRule="exact"/>
    </w:pPr>
    <w:rPr>
      <w:noProof/>
      <w:sz w:val="24"/>
      <w:szCs w:val="24"/>
      <w:lang w:val="en-US"/>
    </w:rPr>
  </w:style>
  <w:style w:type="paragraph" w:customStyle="1" w:styleId="10">
    <w:name w:val="Неформальный1"/>
    <w:uiPriority w:val="99"/>
    <w:rsid w:val="001A00A1"/>
    <w:pPr>
      <w:spacing w:before="60" w:after="60"/>
    </w:pPr>
    <w:rPr>
      <w:noProof/>
      <w:sz w:val="20"/>
      <w:szCs w:val="20"/>
    </w:rPr>
  </w:style>
  <w:style w:type="character" w:styleId="ad">
    <w:name w:val="annotation reference"/>
    <w:basedOn w:val="a0"/>
    <w:uiPriority w:val="99"/>
    <w:semiHidden/>
    <w:rsid w:val="00E0522D"/>
    <w:rPr>
      <w:rFonts w:cs="Times New Roman"/>
      <w:sz w:val="16"/>
      <w:szCs w:val="16"/>
    </w:rPr>
  </w:style>
  <w:style w:type="paragraph" w:styleId="ae">
    <w:name w:val="annotation text"/>
    <w:basedOn w:val="a"/>
    <w:link w:val="af"/>
    <w:uiPriority w:val="99"/>
    <w:semiHidden/>
    <w:rsid w:val="00E0522D"/>
  </w:style>
  <w:style w:type="character" w:customStyle="1" w:styleId="af">
    <w:name w:val="Текст примечания Знак"/>
    <w:basedOn w:val="a0"/>
    <w:link w:val="ae"/>
    <w:uiPriority w:val="99"/>
    <w:semiHidden/>
    <w:locked/>
    <w:rsid w:val="00C40A99"/>
    <w:rPr>
      <w:rFonts w:cs="Times New Roman"/>
      <w:sz w:val="20"/>
      <w:szCs w:val="20"/>
    </w:rPr>
  </w:style>
  <w:style w:type="paragraph" w:styleId="af0">
    <w:name w:val="annotation subject"/>
    <w:basedOn w:val="ae"/>
    <w:next w:val="ae"/>
    <w:link w:val="af1"/>
    <w:uiPriority w:val="99"/>
    <w:semiHidden/>
    <w:rsid w:val="00E0522D"/>
    <w:rPr>
      <w:b/>
      <w:bCs/>
    </w:rPr>
  </w:style>
  <w:style w:type="character" w:customStyle="1" w:styleId="af1">
    <w:name w:val="Тема примечания Знак"/>
    <w:basedOn w:val="af"/>
    <w:link w:val="af0"/>
    <w:uiPriority w:val="99"/>
    <w:semiHidden/>
    <w:locked/>
    <w:rsid w:val="00C40A99"/>
    <w:rPr>
      <w:rFonts w:cs="Times New Roman"/>
      <w:b/>
      <w:bCs/>
      <w:sz w:val="20"/>
      <w:szCs w:val="20"/>
    </w:rPr>
  </w:style>
  <w:style w:type="paragraph" w:styleId="21">
    <w:name w:val="Body Text 2"/>
    <w:basedOn w:val="a"/>
    <w:link w:val="22"/>
    <w:uiPriority w:val="99"/>
    <w:rsid w:val="00DC6308"/>
    <w:pPr>
      <w:spacing w:after="120" w:line="480" w:lineRule="auto"/>
    </w:pPr>
  </w:style>
  <w:style w:type="character" w:customStyle="1" w:styleId="22">
    <w:name w:val="Основной текст 2 Знак"/>
    <w:basedOn w:val="a0"/>
    <w:link w:val="21"/>
    <w:uiPriority w:val="99"/>
    <w:semiHidden/>
    <w:locked/>
    <w:rsid w:val="00C40A99"/>
    <w:rPr>
      <w:rFonts w:cs="Times New Roman"/>
      <w:sz w:val="20"/>
      <w:szCs w:val="20"/>
    </w:rPr>
  </w:style>
  <w:style w:type="paragraph" w:customStyle="1" w:styleId="ConsPlusNonformat">
    <w:name w:val="ConsPlusNonformat"/>
    <w:uiPriority w:val="99"/>
    <w:rsid w:val="00E80E1E"/>
    <w:pPr>
      <w:autoSpaceDE w:val="0"/>
      <w:autoSpaceDN w:val="0"/>
      <w:adjustRightInd w:val="0"/>
    </w:pPr>
    <w:rPr>
      <w:rFonts w:ascii="Courier New" w:hAnsi="Courier New" w:cs="Courier New"/>
      <w:sz w:val="20"/>
      <w:szCs w:val="20"/>
    </w:rPr>
  </w:style>
  <w:style w:type="paragraph" w:customStyle="1" w:styleId="CharCharCharChar1CharCharCharChar">
    <w:name w:val="Знак Знак Знак Знак Знак Знак Знак Знак Знак Char Char Знак Char Char1 Знак Знак Char Char Char Char"/>
    <w:basedOn w:val="a"/>
    <w:uiPriority w:val="99"/>
    <w:rsid w:val="0016311C"/>
    <w:pPr>
      <w:tabs>
        <w:tab w:val="num" w:pos="360"/>
      </w:tabs>
      <w:autoSpaceDE/>
      <w:autoSpaceDN/>
      <w:spacing w:after="160" w:line="240" w:lineRule="exact"/>
    </w:pPr>
    <w:rPr>
      <w:noProof/>
      <w:sz w:val="24"/>
      <w:szCs w:val="24"/>
      <w:lang w:val="en-US"/>
    </w:rPr>
  </w:style>
  <w:style w:type="character" w:styleId="af2">
    <w:name w:val="page number"/>
    <w:basedOn w:val="a0"/>
    <w:uiPriority w:val="99"/>
    <w:rsid w:val="00527452"/>
    <w:rPr>
      <w:rFonts w:cs="Times New Roman"/>
    </w:rPr>
  </w:style>
  <w:style w:type="paragraph" w:customStyle="1" w:styleId="CharCharCharChar">
    <w:name w:val="Знак Знак Char Char Знак Знак Char Char"/>
    <w:basedOn w:val="a"/>
    <w:uiPriority w:val="99"/>
    <w:rsid w:val="00597146"/>
    <w:pPr>
      <w:tabs>
        <w:tab w:val="num" w:pos="360"/>
      </w:tabs>
      <w:autoSpaceDE/>
      <w:autoSpaceDN/>
      <w:spacing w:after="160" w:line="240" w:lineRule="exact"/>
    </w:pPr>
    <w:rPr>
      <w:rFonts w:ascii="Verdana" w:hAnsi="Verdana" w:cs="Verdana"/>
      <w:lang w:val="en-US" w:eastAsia="en-US"/>
    </w:rPr>
  </w:style>
  <w:style w:type="paragraph" w:customStyle="1" w:styleId="SUBST0">
    <w:name w:val="_SUBST"/>
    <w:basedOn w:val="a"/>
    <w:uiPriority w:val="99"/>
    <w:rsid w:val="00BD69B6"/>
    <w:pPr>
      <w:autoSpaceDE/>
      <w:autoSpaceDN/>
    </w:pPr>
    <w:rPr>
      <w:b/>
      <w:bCs/>
      <w:i/>
      <w:iCs/>
      <w:color w:val="000000"/>
      <w:sz w:val="22"/>
      <w:szCs w:val="22"/>
    </w:rPr>
  </w:style>
  <w:style w:type="paragraph" w:customStyle="1" w:styleId="11">
    <w:name w:val="Стиль Подзаголовка 1"/>
    <w:basedOn w:val="a"/>
    <w:uiPriority w:val="99"/>
    <w:rsid w:val="00BD69B6"/>
    <w:pPr>
      <w:keepNext/>
      <w:numPr>
        <w:ilvl w:val="12"/>
      </w:numPr>
      <w:autoSpaceDE/>
      <w:autoSpaceDN/>
      <w:spacing w:before="240"/>
      <w:jc w:val="both"/>
    </w:pPr>
    <w:rPr>
      <w:b/>
      <w:bCs/>
      <w:i/>
      <w:iCs/>
      <w:sz w:val="22"/>
      <w:szCs w:val="22"/>
    </w:rPr>
  </w:style>
  <w:style w:type="paragraph" w:customStyle="1" w:styleId="af3">
    <w:name w:val="Отчетный период"/>
    <w:basedOn w:val="a"/>
    <w:autoRedefine/>
    <w:uiPriority w:val="99"/>
    <w:rsid w:val="00AF5CAB"/>
    <w:pPr>
      <w:widowControl w:val="0"/>
      <w:autoSpaceDE/>
      <w:autoSpaceDN/>
      <w:jc w:val="both"/>
    </w:pPr>
    <w:rPr>
      <w:b/>
      <w:bCs/>
      <w:i/>
      <w:iCs/>
      <w:sz w:val="22"/>
      <w:szCs w:val="22"/>
    </w:rPr>
  </w:style>
  <w:style w:type="paragraph" w:styleId="af4">
    <w:name w:val="Body Text Indent"/>
    <w:basedOn w:val="a"/>
    <w:link w:val="af5"/>
    <w:uiPriority w:val="99"/>
    <w:rsid w:val="0062501C"/>
    <w:pPr>
      <w:autoSpaceDE/>
      <w:autoSpaceDN/>
      <w:spacing w:after="120"/>
      <w:ind w:left="283"/>
    </w:pPr>
    <w:rPr>
      <w:sz w:val="24"/>
      <w:szCs w:val="24"/>
    </w:rPr>
  </w:style>
  <w:style w:type="character" w:customStyle="1" w:styleId="af5">
    <w:name w:val="Основной текст с отступом Знак"/>
    <w:basedOn w:val="a0"/>
    <w:link w:val="af4"/>
    <w:uiPriority w:val="99"/>
    <w:semiHidden/>
    <w:locked/>
    <w:rsid w:val="00DF389C"/>
    <w:rPr>
      <w:rFonts w:cs="Times New Roman"/>
      <w:sz w:val="20"/>
      <w:szCs w:val="20"/>
    </w:rPr>
  </w:style>
  <w:style w:type="paragraph" w:customStyle="1" w:styleId="Heading21">
    <w:name w:val="Heading 21"/>
    <w:uiPriority w:val="99"/>
    <w:rsid w:val="0062501C"/>
    <w:pPr>
      <w:widowControl w:val="0"/>
      <w:spacing w:before="360" w:after="40"/>
    </w:pPr>
    <w:rPr>
      <w:b/>
      <w:bCs/>
      <w:sz w:val="24"/>
      <w:szCs w:val="24"/>
    </w:rPr>
  </w:style>
  <w:style w:type="paragraph" w:customStyle="1" w:styleId="NormalPrefix">
    <w:name w:val="Normal Prefix"/>
    <w:link w:val="NormalPrefix0"/>
    <w:uiPriority w:val="99"/>
    <w:rsid w:val="0062501C"/>
    <w:pPr>
      <w:widowControl w:val="0"/>
      <w:autoSpaceDE w:val="0"/>
      <w:autoSpaceDN w:val="0"/>
      <w:adjustRightInd w:val="0"/>
      <w:spacing w:before="200" w:after="40"/>
    </w:pPr>
  </w:style>
  <w:style w:type="paragraph" w:customStyle="1" w:styleId="BodyTextbt">
    <w:name w:val="Body Text.bt"/>
    <w:basedOn w:val="a"/>
    <w:uiPriority w:val="99"/>
    <w:rsid w:val="0062501C"/>
    <w:pPr>
      <w:jc w:val="both"/>
    </w:pPr>
    <w:rPr>
      <w:b/>
      <w:bCs/>
      <w:i/>
      <w:iCs/>
      <w:sz w:val="22"/>
      <w:szCs w:val="22"/>
    </w:rPr>
  </w:style>
  <w:style w:type="character" w:customStyle="1" w:styleId="NormalPrefix0">
    <w:name w:val="Normal Prefix Знак"/>
    <w:link w:val="NormalPrefix"/>
    <w:uiPriority w:val="99"/>
    <w:locked/>
    <w:rsid w:val="0062501C"/>
    <w:rPr>
      <w:sz w:val="22"/>
      <w:lang w:val="ru-RU" w:eastAsia="ru-RU"/>
    </w:rPr>
  </w:style>
  <w:style w:type="character" w:customStyle="1" w:styleId="ConsNormal0">
    <w:name w:val="ConsNormal Знак"/>
    <w:link w:val="ConsNormal"/>
    <w:uiPriority w:val="99"/>
    <w:locked/>
    <w:rsid w:val="0071415F"/>
    <w:rPr>
      <w:rFonts w:ascii="Courier New" w:hAnsi="Courier New"/>
      <w:sz w:val="22"/>
      <w:lang w:val="en-US"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11898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1423</Words>
  <Characters>8112</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Сообщение</vt:lpstr>
    </vt:vector>
  </TitlesOfParts>
  <Company> RBA</Company>
  <LinksUpToDate>false</LinksUpToDate>
  <CharactersWithSpaces>9516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Сообщение</dc:title>
  <dc:subject/>
  <dc:creator>VIMPELCOM</dc:creator>
  <cp:keywords/>
  <dc:description/>
  <cp:lastModifiedBy>Зуй Татьяна</cp:lastModifiedBy>
  <cp:revision>4</cp:revision>
  <dcterms:created xsi:type="dcterms:W3CDTF">2013-06-28T12:32:00Z</dcterms:created>
  <dcterms:modified xsi:type="dcterms:W3CDTF">2013-06-28T14:26:00Z</dcterms:modified>
</cp:coreProperties>
</file>